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DF6F" w14:textId="77777777" w:rsidR="00BD00D2" w:rsidRDefault="00BD00D2" w:rsidP="00A07825">
      <w:pPr>
        <w:jc w:val="center"/>
        <w:rPr>
          <w:b/>
          <w:bCs/>
        </w:rPr>
      </w:pPr>
    </w:p>
    <w:p w14:paraId="090399FE" w14:textId="77777777" w:rsidR="00384058" w:rsidRPr="00A747EF" w:rsidRDefault="00384058" w:rsidP="00A747EF">
      <w:pPr>
        <w:jc w:val="both"/>
        <w:rPr>
          <w:b/>
          <w:bCs/>
        </w:rPr>
      </w:pPr>
    </w:p>
    <w:p w14:paraId="6A3751A1" w14:textId="77777777" w:rsidR="00384058" w:rsidRPr="00A747EF" w:rsidRDefault="00384058" w:rsidP="00A747EF">
      <w:pPr>
        <w:jc w:val="both"/>
        <w:rPr>
          <w:b/>
          <w:bCs/>
        </w:rPr>
      </w:pPr>
    </w:p>
    <w:p w14:paraId="67437BB5" w14:textId="61DA8BE5" w:rsidR="00A81C85" w:rsidRPr="00A747EF" w:rsidRDefault="00A81C85" w:rsidP="00A747EF">
      <w:pPr>
        <w:jc w:val="both"/>
        <w:rPr>
          <w:b/>
          <w:bCs/>
          <w:u w:val="single"/>
        </w:rPr>
      </w:pPr>
      <w:r w:rsidRPr="00A747EF">
        <w:rPr>
          <w:b/>
          <w:bCs/>
          <w:u w:val="single"/>
        </w:rPr>
        <w:t>SPORTS PREMIUM FUNDING STATEMENT and ACTION PLAN</w:t>
      </w:r>
      <w:r w:rsidR="00226110">
        <w:rPr>
          <w:b/>
          <w:bCs/>
          <w:u w:val="single"/>
        </w:rPr>
        <w:t xml:space="preserve"> APRIL 2018- March 2019</w:t>
      </w:r>
    </w:p>
    <w:p w14:paraId="22EDB003" w14:textId="77777777" w:rsidR="00A81C85" w:rsidRPr="00A747EF" w:rsidRDefault="00A81C85" w:rsidP="00A747EF">
      <w:pPr>
        <w:jc w:val="both"/>
        <w:rPr>
          <w:b/>
          <w:bCs/>
          <w:u w:val="single"/>
        </w:rPr>
      </w:pPr>
    </w:p>
    <w:p w14:paraId="13863417" w14:textId="77777777" w:rsidR="00D91666" w:rsidRPr="00A747EF" w:rsidRDefault="00D91666" w:rsidP="00A747EF">
      <w:pPr>
        <w:jc w:val="both"/>
      </w:pPr>
      <w:r w:rsidRPr="00A747EF">
        <w:rPr>
          <w:b/>
          <w:bCs/>
        </w:rPr>
        <w:t>What is the Sports Premium?</w:t>
      </w:r>
    </w:p>
    <w:p w14:paraId="1E891765" w14:textId="4F0708F2" w:rsidR="00D91666" w:rsidRPr="00A747EF" w:rsidRDefault="00F400A1" w:rsidP="00A747EF">
      <w:pPr>
        <w:jc w:val="both"/>
      </w:pPr>
      <w:r w:rsidRPr="00A747EF">
        <w:t xml:space="preserve">Sports Premium funding is jointly provided by the Department for </w:t>
      </w:r>
      <w:r w:rsidR="006D23FE" w:rsidRPr="00A747EF">
        <w:t>Education</w:t>
      </w:r>
      <w:r w:rsidRPr="00A747EF">
        <w:t xml:space="preserve"> and Health</w:t>
      </w:r>
      <w:r w:rsidR="006D23FE" w:rsidRPr="00A747EF">
        <w:t>, Culture</w:t>
      </w:r>
      <w:r w:rsidRPr="00A747EF">
        <w:t>,</w:t>
      </w:r>
      <w:r w:rsidR="006D23FE" w:rsidRPr="00A747EF">
        <w:t xml:space="preserve"> </w:t>
      </w:r>
      <w:r w:rsidRPr="00A747EF">
        <w:t xml:space="preserve">Media and Sport. </w:t>
      </w:r>
      <w:r w:rsidR="006D23FE" w:rsidRPr="00A747EF">
        <w:t xml:space="preserve">The funding is expected to be used to provide new and substantial primary school sports provision. </w:t>
      </w:r>
    </w:p>
    <w:p w14:paraId="0C534AA5" w14:textId="77777777" w:rsidR="006D23FE" w:rsidRPr="00A747EF" w:rsidRDefault="006D23FE" w:rsidP="00A747EF">
      <w:pPr>
        <w:jc w:val="both"/>
        <w:rPr>
          <w:b/>
          <w:bCs/>
        </w:rPr>
      </w:pPr>
    </w:p>
    <w:p w14:paraId="72636452" w14:textId="77777777" w:rsidR="00D91666" w:rsidRPr="00A747EF" w:rsidRDefault="00D91666" w:rsidP="00A747EF">
      <w:pPr>
        <w:jc w:val="both"/>
      </w:pPr>
      <w:r w:rsidRPr="00A747EF">
        <w:rPr>
          <w:b/>
          <w:bCs/>
        </w:rPr>
        <w:t>Purpose of the funding</w:t>
      </w:r>
    </w:p>
    <w:p w14:paraId="6A0C8975" w14:textId="77777777" w:rsidR="00D91666" w:rsidRPr="00A747EF" w:rsidRDefault="002411DB" w:rsidP="00A747EF">
      <w:pPr>
        <w:jc w:val="both"/>
      </w:pPr>
      <w:r w:rsidRPr="00A747EF">
        <w:t xml:space="preserve">Schools must spend the sports funding </w:t>
      </w:r>
      <w:r w:rsidR="00F400A1" w:rsidRPr="00A747EF">
        <w:t>to improve</w:t>
      </w:r>
      <w:r w:rsidRPr="00A747EF">
        <w:t xml:space="preserve"> the quality and breadth of provision for PE and school sports activities.  The sports funding is designed to enrich </w:t>
      </w:r>
      <w:r w:rsidR="006D23FE" w:rsidRPr="00A747EF">
        <w:t>children’s</w:t>
      </w:r>
      <w:r w:rsidRPr="00A747EF">
        <w:t xml:space="preserve"> </w:t>
      </w:r>
      <w:r w:rsidR="0072231B" w:rsidRPr="00A747EF">
        <w:t>experience in</w:t>
      </w:r>
      <w:r w:rsidRPr="00A747EF">
        <w:t xml:space="preserve"> sport whilst developing heathy active lifestyles</w:t>
      </w:r>
      <w:r w:rsidR="00F400A1" w:rsidRPr="00A747EF">
        <w:t>;</w:t>
      </w:r>
      <w:r w:rsidRPr="00A747EF">
        <w:t xml:space="preserve"> raising levels of attainment and enabling pupils to reach</w:t>
      </w:r>
      <w:r w:rsidR="00F400A1" w:rsidRPr="00A747EF">
        <w:t xml:space="preserve"> the</w:t>
      </w:r>
      <w:r w:rsidRPr="00A747EF">
        <w:t xml:space="preserve"> levels of performance they are capable of. </w:t>
      </w:r>
      <w:r w:rsidR="00F400A1" w:rsidRPr="00A747EF">
        <w:t xml:space="preserve"> Schools are not directed to how they use the </w:t>
      </w:r>
      <w:r w:rsidR="006D23FE" w:rsidRPr="00A747EF">
        <w:t>m</w:t>
      </w:r>
      <w:r w:rsidR="00F400A1" w:rsidRPr="00A747EF">
        <w:t>oney</w:t>
      </w:r>
      <w:r w:rsidR="006D23FE" w:rsidRPr="00A747EF">
        <w:t>. T</w:t>
      </w:r>
      <w:r w:rsidR="00F400A1" w:rsidRPr="00A747EF">
        <w:t xml:space="preserve">hey are </w:t>
      </w:r>
      <w:r w:rsidR="0072231B" w:rsidRPr="00A747EF">
        <w:t>expected</w:t>
      </w:r>
      <w:r w:rsidR="00F400A1" w:rsidRPr="00A747EF">
        <w:t xml:space="preserve"> to decide how to use the funding in order to improve the </w:t>
      </w:r>
      <w:r w:rsidR="0072231B" w:rsidRPr="00A747EF">
        <w:t>provision</w:t>
      </w:r>
      <w:r w:rsidR="00F400A1" w:rsidRPr="00A747EF">
        <w:t xml:space="preserve"> of PE </w:t>
      </w:r>
      <w:r w:rsidR="0072231B" w:rsidRPr="00A747EF">
        <w:t>and</w:t>
      </w:r>
      <w:r w:rsidR="00F400A1" w:rsidRPr="00A747EF">
        <w:t xml:space="preserve"> sport within their schools.</w:t>
      </w:r>
      <w:r w:rsidR="00D91666" w:rsidRPr="00A747EF">
        <w:t xml:space="preserve"> Examples include additional sport clubs, equipment to support P.E and hiring specialist P.E teachers/qualified sport coaches.</w:t>
      </w:r>
    </w:p>
    <w:p w14:paraId="7E024E74" w14:textId="77777777" w:rsidR="00A07825" w:rsidRPr="00A747EF" w:rsidRDefault="00A07825" w:rsidP="00A747EF">
      <w:pPr>
        <w:jc w:val="both"/>
        <w:rPr>
          <w:b/>
        </w:rPr>
      </w:pPr>
    </w:p>
    <w:p w14:paraId="3988A922" w14:textId="77777777" w:rsidR="00D91666" w:rsidRPr="00A747EF" w:rsidRDefault="00D91666" w:rsidP="00A747EF">
      <w:pPr>
        <w:jc w:val="both"/>
        <w:rPr>
          <w:b/>
        </w:rPr>
      </w:pPr>
      <w:r w:rsidRPr="00A747EF">
        <w:rPr>
          <w:b/>
        </w:rPr>
        <w:t>Physical Education at West Heath</w:t>
      </w:r>
    </w:p>
    <w:p w14:paraId="4ACD53E5" w14:textId="77777777" w:rsidR="00D91666" w:rsidRPr="00A747EF" w:rsidRDefault="00D91666" w:rsidP="00A747EF">
      <w:pPr>
        <w:jc w:val="both"/>
      </w:pPr>
      <w:r w:rsidRPr="00A747EF">
        <w:t>At West Heath Primary School</w:t>
      </w:r>
      <w:r w:rsidR="00F400A1" w:rsidRPr="00A747EF">
        <w:t>,</w:t>
      </w:r>
      <w:r w:rsidRPr="00A747EF">
        <w:t xml:space="preserve"> we recognise the contribution of P.E to the health and well-being of the children in our care. In addition, it is proven that an innovative and varied PE curriculum and extra-curricular opportunities have a positive influence on the concentration, attitude and academic achievement of all children.</w:t>
      </w:r>
      <w:r w:rsidR="00A07825" w:rsidRPr="00A747EF">
        <w:t xml:space="preserve">  We aim to develop children’s knowledge, understanding and skill development so that they can effectively perform skills with confidence and competence.  </w:t>
      </w:r>
      <w:r w:rsidR="006D23FE" w:rsidRPr="00A747EF">
        <w:t>Children</w:t>
      </w:r>
      <w:r w:rsidR="00A07825" w:rsidRPr="00A747EF">
        <w:t xml:space="preserve"> a</w:t>
      </w:r>
      <w:r w:rsidR="00F400A1" w:rsidRPr="00A747EF">
        <w:t>t</w:t>
      </w:r>
      <w:r w:rsidR="00A07825" w:rsidRPr="00A747EF">
        <w:t xml:space="preserve"> West Heath </w:t>
      </w:r>
      <w:r w:rsidR="006D23FE" w:rsidRPr="00A747EF">
        <w:t>Primary are</w:t>
      </w:r>
      <w:r w:rsidR="00A07825" w:rsidRPr="00A747EF">
        <w:t xml:space="preserve"> expected</w:t>
      </w:r>
      <w:r w:rsidR="006D23FE" w:rsidRPr="00A747EF">
        <w:t xml:space="preserve"> to</w:t>
      </w:r>
      <w:r w:rsidR="00A07825" w:rsidRPr="00A747EF">
        <w:t xml:space="preserve"> know</w:t>
      </w:r>
      <w:r w:rsidR="000E4F6F" w:rsidRPr="00A747EF">
        <w:t>, understand and then be able to</w:t>
      </w:r>
      <w:r w:rsidR="00F400A1" w:rsidRPr="00A747EF">
        <w:t xml:space="preserve"> apply their skills and knowledge in a range of contexts</w:t>
      </w:r>
      <w:r w:rsidR="000E4F6F" w:rsidRPr="00A747EF">
        <w:t xml:space="preserve">.  </w:t>
      </w:r>
      <w:r w:rsidR="00F400A1" w:rsidRPr="00A747EF">
        <w:t xml:space="preserve">At West Heath Primary, </w:t>
      </w:r>
      <w:r w:rsidR="000E4F6F" w:rsidRPr="00A747EF">
        <w:t>PE promotes understanding of how the body work</w:t>
      </w:r>
      <w:r w:rsidR="006D23FE" w:rsidRPr="00A747EF">
        <w:t>s</w:t>
      </w:r>
      <w:r w:rsidR="000E4F6F" w:rsidRPr="00A747EF">
        <w:t xml:space="preserve"> </w:t>
      </w:r>
      <w:r w:rsidR="006D23FE" w:rsidRPr="00A747EF">
        <w:t xml:space="preserve">and </w:t>
      </w:r>
      <w:r w:rsidR="000E4F6F" w:rsidRPr="00A747EF">
        <w:t>enabl</w:t>
      </w:r>
      <w:r w:rsidR="006D23FE" w:rsidRPr="00A747EF">
        <w:t>es</w:t>
      </w:r>
      <w:r w:rsidR="000E4F6F" w:rsidRPr="00A747EF">
        <w:t xml:space="preserve"> children to make informed choices about healthy lifestyle</w:t>
      </w:r>
      <w:r w:rsidR="006D23FE" w:rsidRPr="00A747EF">
        <w:t>s</w:t>
      </w:r>
      <w:r w:rsidR="000E4F6F" w:rsidRPr="00A747EF">
        <w:t xml:space="preserve"> and </w:t>
      </w:r>
      <w:r w:rsidR="006D23FE" w:rsidRPr="00A747EF">
        <w:t xml:space="preserve">to </w:t>
      </w:r>
      <w:r w:rsidR="000E4F6F" w:rsidRPr="00A747EF">
        <w:t xml:space="preserve">encourage lifelong participation in sport. </w:t>
      </w:r>
    </w:p>
    <w:p w14:paraId="38E1FC28" w14:textId="77777777" w:rsidR="00D91666" w:rsidRPr="00A747EF" w:rsidRDefault="00D91666" w:rsidP="00A747EF">
      <w:pPr>
        <w:jc w:val="both"/>
        <w:rPr>
          <w:b/>
        </w:rPr>
      </w:pPr>
      <w:r w:rsidRPr="00A747EF">
        <w:rPr>
          <w:b/>
        </w:rPr>
        <w:t>Objectives of the Funding at West Heath</w:t>
      </w:r>
    </w:p>
    <w:p w14:paraId="50936EA2" w14:textId="77777777" w:rsidR="00D91666" w:rsidRPr="00A747EF" w:rsidRDefault="00D91666" w:rsidP="00A747EF">
      <w:pPr>
        <w:numPr>
          <w:ilvl w:val="0"/>
          <w:numId w:val="1"/>
        </w:numPr>
        <w:jc w:val="both"/>
      </w:pPr>
      <w:r w:rsidRPr="00A747EF">
        <w:t>To ensure that all PE lessons are at least good and that children make good progress</w:t>
      </w:r>
      <w:r w:rsidR="003D2271" w:rsidRPr="00A747EF">
        <w:t>.</w:t>
      </w:r>
    </w:p>
    <w:p w14:paraId="43083077" w14:textId="7D56EA9B" w:rsidR="00D91666" w:rsidRPr="00A747EF" w:rsidRDefault="00D91666" w:rsidP="00A747EF">
      <w:pPr>
        <w:numPr>
          <w:ilvl w:val="0"/>
          <w:numId w:val="1"/>
        </w:numPr>
        <w:jc w:val="both"/>
      </w:pPr>
      <w:r w:rsidRPr="00A747EF">
        <w:t xml:space="preserve">To ensure that all children are able to engage in physical activity </w:t>
      </w:r>
      <w:r w:rsidR="003870F9" w:rsidRPr="00A747EF">
        <w:t xml:space="preserve">across the curriculum </w:t>
      </w:r>
      <w:r w:rsidRPr="00A747EF">
        <w:t>on a daily basis</w:t>
      </w:r>
      <w:r w:rsidR="003D2271" w:rsidRPr="00A747EF">
        <w:t>.</w:t>
      </w:r>
    </w:p>
    <w:p w14:paraId="2C38297C" w14:textId="77777777" w:rsidR="00D91666" w:rsidRPr="00A747EF" w:rsidRDefault="00D91666" w:rsidP="00A747EF">
      <w:pPr>
        <w:numPr>
          <w:ilvl w:val="0"/>
          <w:numId w:val="1"/>
        </w:numPr>
        <w:jc w:val="both"/>
      </w:pPr>
      <w:r w:rsidRPr="00A747EF">
        <w:t>To ensure that all children are able to take part in competitive sport</w:t>
      </w:r>
      <w:r w:rsidR="003D2271" w:rsidRPr="00A747EF">
        <w:t xml:space="preserve"> through intra and inter school competitions.</w:t>
      </w:r>
    </w:p>
    <w:p w14:paraId="019C553D" w14:textId="77777777" w:rsidR="003D2271" w:rsidRPr="00A747EF" w:rsidRDefault="003D2271" w:rsidP="00A747EF">
      <w:pPr>
        <w:numPr>
          <w:ilvl w:val="0"/>
          <w:numId w:val="1"/>
        </w:numPr>
        <w:jc w:val="both"/>
      </w:pPr>
      <w:r w:rsidRPr="00A747EF">
        <w:t xml:space="preserve">To </w:t>
      </w:r>
      <w:r w:rsidR="006D23FE" w:rsidRPr="00A747EF">
        <w:t>m</w:t>
      </w:r>
      <w:r w:rsidRPr="00A747EF">
        <w:t xml:space="preserve">ake sport accessible to all SEND </w:t>
      </w:r>
      <w:r w:rsidR="006D23FE" w:rsidRPr="00A747EF">
        <w:t>pupils</w:t>
      </w:r>
      <w:r w:rsidRPr="00A747EF">
        <w:t>.</w:t>
      </w:r>
    </w:p>
    <w:p w14:paraId="26D15C88" w14:textId="35A53B0A" w:rsidR="00B943ED" w:rsidRPr="00A747EF" w:rsidRDefault="00B943ED" w:rsidP="00A747EF">
      <w:pPr>
        <w:numPr>
          <w:ilvl w:val="0"/>
          <w:numId w:val="1"/>
        </w:numPr>
        <w:jc w:val="both"/>
      </w:pPr>
      <w:r w:rsidRPr="00A747EF">
        <w:t xml:space="preserve">To ensure that all pupils in key stage 2 take part in swimming lessons.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1666" w:rsidRPr="00A747EF" w14:paraId="49D17323" w14:textId="77777777" w:rsidTr="001C39F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57EBACF" w14:textId="3A04A06E" w:rsidR="00D91666" w:rsidRPr="00A747EF" w:rsidRDefault="00D91666" w:rsidP="00A747EF">
            <w:pPr>
              <w:spacing w:after="160" w:line="259" w:lineRule="auto"/>
              <w:jc w:val="both"/>
            </w:pPr>
            <w:r w:rsidRPr="00A747EF">
              <w:lastRenderedPageBreak/>
              <w:t xml:space="preserve">West Heath </w:t>
            </w:r>
            <w:r w:rsidR="00D47123" w:rsidRPr="00A747EF">
              <w:t>Primary Funding</w:t>
            </w:r>
            <w:r w:rsidRPr="00A747EF">
              <w:t xml:space="preserve"> Allocations</w:t>
            </w:r>
          </w:p>
        </w:tc>
      </w:tr>
      <w:tr w:rsidR="00D91666" w:rsidRPr="00A747EF" w14:paraId="4F404FBF" w14:textId="77777777" w:rsidTr="001C39FB">
        <w:tc>
          <w:tcPr>
            <w:tcW w:w="4508" w:type="dxa"/>
          </w:tcPr>
          <w:p w14:paraId="033AE627" w14:textId="77777777" w:rsidR="00D91666" w:rsidRPr="00A747EF" w:rsidRDefault="00D91666" w:rsidP="00A747EF">
            <w:pPr>
              <w:spacing w:after="160" w:line="259" w:lineRule="auto"/>
              <w:jc w:val="both"/>
              <w:rPr>
                <w:b/>
              </w:rPr>
            </w:pPr>
            <w:r w:rsidRPr="00A747EF">
              <w:rPr>
                <w:b/>
              </w:rPr>
              <w:t>Total Number of children on roll</w:t>
            </w:r>
          </w:p>
        </w:tc>
        <w:tc>
          <w:tcPr>
            <w:tcW w:w="4508" w:type="dxa"/>
          </w:tcPr>
          <w:p w14:paraId="059C10E2" w14:textId="3A5050B1" w:rsidR="00D91666" w:rsidRPr="00A747EF" w:rsidRDefault="00B712D8" w:rsidP="00A747EF">
            <w:pPr>
              <w:spacing w:after="160" w:line="259" w:lineRule="auto"/>
              <w:jc w:val="both"/>
            </w:pPr>
            <w:r w:rsidRPr="00A747EF">
              <w:t>418</w:t>
            </w:r>
          </w:p>
        </w:tc>
      </w:tr>
      <w:tr w:rsidR="00D91666" w:rsidRPr="00A747EF" w14:paraId="2B5B4EA1" w14:textId="77777777" w:rsidTr="001C39FB">
        <w:tc>
          <w:tcPr>
            <w:tcW w:w="4508" w:type="dxa"/>
          </w:tcPr>
          <w:p w14:paraId="71403235" w14:textId="77777777" w:rsidR="00D91666" w:rsidRPr="00A747EF" w:rsidRDefault="00D91666" w:rsidP="00A747EF">
            <w:pPr>
              <w:spacing w:after="160" w:line="259" w:lineRule="auto"/>
              <w:jc w:val="both"/>
              <w:rPr>
                <w:b/>
              </w:rPr>
            </w:pPr>
            <w:r w:rsidRPr="00A747EF">
              <w:rPr>
                <w:b/>
              </w:rPr>
              <w:t>Number of</w:t>
            </w:r>
            <w:r w:rsidR="00903860" w:rsidRPr="00A747EF">
              <w:rPr>
                <w:b/>
              </w:rPr>
              <w:t xml:space="preserve"> </w:t>
            </w:r>
            <w:r w:rsidRPr="00A747EF">
              <w:rPr>
                <w:b/>
              </w:rPr>
              <w:t xml:space="preserve">pupils eligible for FSM </w:t>
            </w:r>
          </w:p>
        </w:tc>
        <w:tc>
          <w:tcPr>
            <w:tcW w:w="4508" w:type="dxa"/>
          </w:tcPr>
          <w:p w14:paraId="46D31862" w14:textId="22ADB527" w:rsidR="00D91666" w:rsidRPr="00A747EF" w:rsidRDefault="00B712D8" w:rsidP="00A747EF">
            <w:pPr>
              <w:spacing w:after="160" w:line="259" w:lineRule="auto"/>
              <w:jc w:val="both"/>
            </w:pPr>
            <w:r w:rsidRPr="00A747EF">
              <w:t>354</w:t>
            </w:r>
          </w:p>
        </w:tc>
      </w:tr>
      <w:tr w:rsidR="00D91666" w:rsidRPr="00A747EF" w14:paraId="1883285B" w14:textId="77777777" w:rsidTr="001C39F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8E446F6" w14:textId="77777777" w:rsidR="00D91666" w:rsidRPr="00A747EF" w:rsidRDefault="00D91666" w:rsidP="00A747EF">
            <w:pPr>
              <w:spacing w:after="160" w:line="259" w:lineRule="auto"/>
              <w:jc w:val="both"/>
              <w:rPr>
                <w:b/>
                <w:highlight w:val="yellow"/>
              </w:rPr>
            </w:pPr>
          </w:p>
        </w:tc>
      </w:tr>
      <w:tr w:rsidR="00D91666" w:rsidRPr="00A747EF" w14:paraId="36E43756" w14:textId="77777777" w:rsidTr="001C39FB">
        <w:tc>
          <w:tcPr>
            <w:tcW w:w="4508" w:type="dxa"/>
          </w:tcPr>
          <w:p w14:paraId="7AAFEE7E" w14:textId="2FD46892" w:rsidR="00D91666" w:rsidRPr="00A747EF" w:rsidRDefault="00D47123" w:rsidP="00A747EF">
            <w:pPr>
              <w:spacing w:after="160" w:line="259" w:lineRule="auto"/>
              <w:jc w:val="both"/>
              <w:rPr>
                <w:b/>
              </w:rPr>
            </w:pPr>
            <w:r w:rsidRPr="00A747EF">
              <w:rPr>
                <w:b/>
              </w:rPr>
              <w:t>Eligible funding</w:t>
            </w:r>
            <w:r w:rsidR="0009230A" w:rsidRPr="00A747EF">
              <w:rPr>
                <w:b/>
              </w:rPr>
              <w:t xml:space="preserve"> 201</w:t>
            </w:r>
            <w:r w:rsidR="001C519C" w:rsidRPr="00A747EF">
              <w:rPr>
                <w:b/>
              </w:rPr>
              <w:t>8</w:t>
            </w:r>
            <w:r w:rsidR="0009230A" w:rsidRPr="00A747EF">
              <w:rPr>
                <w:b/>
              </w:rPr>
              <w:t>/1</w:t>
            </w:r>
            <w:r w:rsidR="001C519C" w:rsidRPr="00A747EF">
              <w:rPr>
                <w:b/>
              </w:rPr>
              <w:t>9</w:t>
            </w:r>
          </w:p>
          <w:p w14:paraId="3E5463D5" w14:textId="2FB76B4C" w:rsidR="0009230A" w:rsidRPr="00A747EF" w:rsidRDefault="007A691E" w:rsidP="00A747EF">
            <w:pPr>
              <w:spacing w:after="160" w:line="259" w:lineRule="auto"/>
              <w:jc w:val="both"/>
              <w:rPr>
                <w:b/>
              </w:rPr>
            </w:pPr>
            <w:r w:rsidRPr="00A747EF">
              <w:rPr>
                <w:b/>
              </w:rPr>
              <w:t>E</w:t>
            </w:r>
            <w:r w:rsidR="0009230A" w:rsidRPr="00A747EF">
              <w:rPr>
                <w:b/>
              </w:rPr>
              <w:t>ligible</w:t>
            </w:r>
            <w:r w:rsidRPr="00A747EF">
              <w:rPr>
                <w:b/>
              </w:rPr>
              <w:t xml:space="preserve"> (estimated)</w:t>
            </w:r>
            <w:r w:rsidR="0009230A" w:rsidRPr="00A747EF">
              <w:rPr>
                <w:b/>
              </w:rPr>
              <w:t xml:space="preserve"> funding 201</w:t>
            </w:r>
            <w:r w:rsidR="001C519C" w:rsidRPr="00A747EF">
              <w:rPr>
                <w:b/>
              </w:rPr>
              <w:t>9/20</w:t>
            </w:r>
          </w:p>
          <w:p w14:paraId="4A5D43E5" w14:textId="057CF91C" w:rsidR="00D91666" w:rsidRPr="00A747EF" w:rsidRDefault="00D91666" w:rsidP="00A747EF">
            <w:pPr>
              <w:spacing w:after="160" w:line="259" w:lineRule="auto"/>
              <w:jc w:val="both"/>
              <w:rPr>
                <w:b/>
                <w:i/>
                <w:sz w:val="16"/>
                <w:szCs w:val="16"/>
              </w:rPr>
            </w:pPr>
            <w:r w:rsidRPr="00A747EF">
              <w:rPr>
                <w:b/>
                <w:i/>
                <w:sz w:val="16"/>
                <w:szCs w:val="16"/>
              </w:rPr>
              <w:t>Allocations for the academic year 201</w:t>
            </w:r>
            <w:r w:rsidR="000A6EA3" w:rsidRPr="00A747EF">
              <w:rPr>
                <w:b/>
                <w:i/>
                <w:sz w:val="16"/>
                <w:szCs w:val="16"/>
              </w:rPr>
              <w:t>7</w:t>
            </w:r>
            <w:r w:rsidRPr="00A747EF">
              <w:rPr>
                <w:b/>
                <w:i/>
                <w:sz w:val="16"/>
                <w:szCs w:val="16"/>
              </w:rPr>
              <w:t>/201</w:t>
            </w:r>
            <w:r w:rsidR="000A6EA3" w:rsidRPr="00A747EF">
              <w:rPr>
                <w:b/>
                <w:i/>
                <w:sz w:val="16"/>
                <w:szCs w:val="16"/>
              </w:rPr>
              <w:t>8</w:t>
            </w:r>
            <w:r w:rsidRPr="00A747EF">
              <w:rPr>
                <w:b/>
                <w:i/>
                <w:sz w:val="16"/>
                <w:szCs w:val="16"/>
              </w:rPr>
              <w:t xml:space="preserve"> are calculated using the number of pupils i</w:t>
            </w:r>
            <w:r w:rsidR="000A6EA3" w:rsidRPr="00A747EF">
              <w:rPr>
                <w:b/>
                <w:i/>
                <w:sz w:val="16"/>
                <w:szCs w:val="16"/>
              </w:rPr>
              <w:t xml:space="preserve">n years 1 to 6 </w:t>
            </w:r>
          </w:p>
        </w:tc>
        <w:tc>
          <w:tcPr>
            <w:tcW w:w="4508" w:type="dxa"/>
          </w:tcPr>
          <w:p w14:paraId="6BC6267B" w14:textId="77777777" w:rsidR="0009230A" w:rsidRPr="00A747EF" w:rsidRDefault="007A691E" w:rsidP="00A747EF">
            <w:pPr>
              <w:spacing w:after="160" w:line="259" w:lineRule="auto"/>
              <w:jc w:val="both"/>
            </w:pPr>
            <w:r w:rsidRPr="00A747EF">
              <w:t>£8,142</w:t>
            </w:r>
          </w:p>
          <w:p w14:paraId="77028639" w14:textId="3F65A4C8" w:rsidR="007A691E" w:rsidRPr="00A747EF" w:rsidRDefault="006769EB" w:rsidP="00A747EF">
            <w:pPr>
              <w:spacing w:after="160" w:line="259" w:lineRule="auto"/>
              <w:jc w:val="both"/>
            </w:pPr>
            <w:r w:rsidRPr="00A747EF">
              <w:t>£</w:t>
            </w:r>
            <w:r w:rsidR="00375130" w:rsidRPr="00A747EF">
              <w:t>11</w:t>
            </w:r>
            <w:r w:rsidRPr="00A747EF">
              <w:t>,</w:t>
            </w:r>
            <w:r w:rsidR="00375130" w:rsidRPr="00A747EF">
              <w:t>404</w:t>
            </w:r>
          </w:p>
        </w:tc>
      </w:tr>
      <w:tr w:rsidR="00D91666" w:rsidRPr="00A747EF" w14:paraId="34F6FC5E" w14:textId="77777777" w:rsidTr="001C39FB">
        <w:tc>
          <w:tcPr>
            <w:tcW w:w="4508" w:type="dxa"/>
          </w:tcPr>
          <w:p w14:paraId="68DABF2E" w14:textId="77777777" w:rsidR="00D91666" w:rsidRPr="00A747EF" w:rsidRDefault="00D91666" w:rsidP="00A747EF">
            <w:pPr>
              <w:spacing w:after="160" w:line="259" w:lineRule="auto"/>
              <w:jc w:val="both"/>
              <w:rPr>
                <w:b/>
              </w:rPr>
            </w:pPr>
            <w:r w:rsidRPr="00A747EF">
              <w:rPr>
                <w:b/>
              </w:rPr>
              <w:t xml:space="preserve">Total amount of funding received. </w:t>
            </w:r>
          </w:p>
        </w:tc>
        <w:tc>
          <w:tcPr>
            <w:tcW w:w="4508" w:type="dxa"/>
          </w:tcPr>
          <w:p w14:paraId="2AE52CDE" w14:textId="7F438442" w:rsidR="00D91666" w:rsidRPr="00A747EF" w:rsidRDefault="000A6EA3" w:rsidP="00A747EF">
            <w:pPr>
              <w:spacing w:after="160" w:line="259" w:lineRule="auto"/>
              <w:jc w:val="both"/>
            </w:pPr>
            <w:r w:rsidRPr="00A747EF">
              <w:t>£</w:t>
            </w:r>
            <w:r w:rsidR="007A691E" w:rsidRPr="00A747EF">
              <w:t xml:space="preserve"> </w:t>
            </w:r>
            <w:r w:rsidR="00375130" w:rsidRPr="00A747EF">
              <w:t>19,546</w:t>
            </w:r>
          </w:p>
        </w:tc>
      </w:tr>
    </w:tbl>
    <w:p w14:paraId="6F849436" w14:textId="77777777" w:rsidR="00384058" w:rsidRPr="00A747EF" w:rsidRDefault="00384058" w:rsidP="00A747EF">
      <w:pPr>
        <w:jc w:val="both"/>
      </w:pPr>
    </w:p>
    <w:tbl>
      <w:tblPr>
        <w:tblStyle w:val="TableGrid"/>
        <w:tblpPr w:leftFromText="180" w:rightFromText="180" w:vertAnchor="text" w:horzAnchor="page" w:tblpX="1450" w:tblpY="255"/>
        <w:tblW w:w="8935" w:type="dxa"/>
        <w:tblLook w:val="04A0" w:firstRow="1" w:lastRow="0" w:firstColumn="1" w:lastColumn="0" w:noHBand="0" w:noVBand="1"/>
      </w:tblPr>
      <w:tblGrid>
        <w:gridCol w:w="4545"/>
        <w:gridCol w:w="4390"/>
      </w:tblGrid>
      <w:tr w:rsidR="0066003E" w:rsidRPr="00A747EF" w14:paraId="1745BC01" w14:textId="77777777" w:rsidTr="009F1046">
        <w:trPr>
          <w:trHeight w:val="561"/>
        </w:trPr>
        <w:tc>
          <w:tcPr>
            <w:tcW w:w="4545" w:type="dxa"/>
          </w:tcPr>
          <w:p w14:paraId="3FBE80CB" w14:textId="77777777" w:rsidR="0066003E" w:rsidRPr="00A747EF" w:rsidRDefault="0066003E" w:rsidP="00A747EF">
            <w:pPr>
              <w:jc w:val="both"/>
              <w:rPr>
                <w:b/>
              </w:rPr>
            </w:pPr>
            <w:r w:rsidRPr="00A747EF">
              <w:rPr>
                <w:b/>
              </w:rPr>
              <w:t xml:space="preserve">Key Achievements </w:t>
            </w:r>
          </w:p>
        </w:tc>
        <w:tc>
          <w:tcPr>
            <w:tcW w:w="4390" w:type="dxa"/>
          </w:tcPr>
          <w:p w14:paraId="0A5FC643" w14:textId="6718BF3A" w:rsidR="0066003E" w:rsidRPr="00A747EF" w:rsidRDefault="0066003E" w:rsidP="00A747EF">
            <w:pPr>
              <w:jc w:val="both"/>
              <w:rPr>
                <w:b/>
              </w:rPr>
            </w:pPr>
            <w:r w:rsidRPr="00A747EF">
              <w:rPr>
                <w:b/>
              </w:rPr>
              <w:t xml:space="preserve">Areas for </w:t>
            </w:r>
            <w:r w:rsidR="00D47123" w:rsidRPr="00A747EF">
              <w:rPr>
                <w:b/>
              </w:rPr>
              <w:t>further</w:t>
            </w:r>
            <w:r w:rsidRPr="00A747EF">
              <w:rPr>
                <w:b/>
              </w:rPr>
              <w:t xml:space="preserve"> improvement and baseline evidence of need.</w:t>
            </w:r>
          </w:p>
        </w:tc>
      </w:tr>
      <w:tr w:rsidR="0066003E" w:rsidRPr="00A747EF" w14:paraId="6A6B8A7A" w14:textId="77777777" w:rsidTr="00E75CAC">
        <w:trPr>
          <w:trHeight w:val="377"/>
        </w:trPr>
        <w:tc>
          <w:tcPr>
            <w:tcW w:w="4545" w:type="dxa"/>
          </w:tcPr>
          <w:p w14:paraId="5B574219" w14:textId="1685878D" w:rsidR="0066003E" w:rsidRPr="00A747EF" w:rsidRDefault="00D47123" w:rsidP="00A747EF">
            <w:pPr>
              <w:jc w:val="both"/>
            </w:pPr>
            <w:r w:rsidRPr="00A747EF">
              <w:t>Sainsbury’s</w:t>
            </w:r>
            <w:r w:rsidR="00E75CAC" w:rsidRPr="00A747EF">
              <w:t xml:space="preserve"> School</w:t>
            </w:r>
            <w:r w:rsidR="00375130" w:rsidRPr="00A747EF">
              <w:t xml:space="preserve"> Games</w:t>
            </w:r>
            <w:r w:rsidR="00E75CAC" w:rsidRPr="00A747EF">
              <w:t xml:space="preserve"> Gold Award</w:t>
            </w:r>
          </w:p>
          <w:p w14:paraId="1ED6BBBD" w14:textId="787A070D" w:rsidR="00E75CAC" w:rsidRPr="00A747EF" w:rsidRDefault="00375130" w:rsidP="00A747EF">
            <w:pPr>
              <w:jc w:val="both"/>
              <w:rPr>
                <w:b/>
              </w:rPr>
            </w:pPr>
            <w:r w:rsidRPr="00A747EF">
              <w:t xml:space="preserve">AfPE </w:t>
            </w:r>
            <w:r w:rsidR="00E75CAC" w:rsidRPr="00A747EF">
              <w:t>Quality Mark</w:t>
            </w:r>
            <w:r w:rsidR="00E75CAC" w:rsidRPr="00A747EF">
              <w:rPr>
                <w:b/>
              </w:rPr>
              <w:t xml:space="preserve"> </w:t>
            </w:r>
          </w:p>
          <w:p w14:paraId="6752E97E" w14:textId="77777777" w:rsidR="00B943ED" w:rsidRPr="00A747EF" w:rsidRDefault="00B943ED" w:rsidP="00A747EF">
            <w:pPr>
              <w:jc w:val="both"/>
            </w:pPr>
            <w:r w:rsidRPr="00A747EF">
              <w:t>Y</w:t>
            </w:r>
            <w:r w:rsidR="00375130" w:rsidRPr="00A747EF">
              <w:t>ST</w:t>
            </w:r>
            <w:r w:rsidRPr="00A747EF">
              <w:t xml:space="preserve"> Quality Mark </w:t>
            </w:r>
          </w:p>
          <w:p w14:paraId="694A26A9" w14:textId="72D483E7" w:rsidR="00375130" w:rsidRPr="00A747EF" w:rsidRDefault="00375130" w:rsidP="00A747EF">
            <w:pPr>
              <w:jc w:val="both"/>
            </w:pPr>
            <w:r w:rsidRPr="00A747EF">
              <w:t>YST national case studies</w:t>
            </w:r>
          </w:p>
        </w:tc>
        <w:tc>
          <w:tcPr>
            <w:tcW w:w="4390" w:type="dxa"/>
          </w:tcPr>
          <w:p w14:paraId="04731ACB" w14:textId="61947E12" w:rsidR="0066003E" w:rsidRPr="00A747EF" w:rsidRDefault="006B5C86" w:rsidP="00A747EF">
            <w:pPr>
              <w:jc w:val="both"/>
            </w:pPr>
            <w:r w:rsidRPr="00A747EF">
              <w:t xml:space="preserve">Physical </w:t>
            </w:r>
            <w:r w:rsidR="009F1046" w:rsidRPr="00A747EF">
              <w:t>activity</w:t>
            </w:r>
          </w:p>
          <w:p w14:paraId="4B5BD3C0" w14:textId="77777777" w:rsidR="009F1046" w:rsidRPr="00A747EF" w:rsidRDefault="006B5C86" w:rsidP="00A747EF">
            <w:pPr>
              <w:jc w:val="both"/>
            </w:pPr>
            <w:r w:rsidRPr="00A747EF">
              <w:t>Assessment of whole child through PE</w:t>
            </w:r>
          </w:p>
          <w:p w14:paraId="1D0E1F5E" w14:textId="032D5FB9" w:rsidR="009F1046" w:rsidRPr="00A747EF" w:rsidRDefault="009F1046" w:rsidP="00A747EF">
            <w:pPr>
              <w:jc w:val="both"/>
            </w:pPr>
            <w:r w:rsidRPr="00A747EF">
              <w:t>Development of OAA</w:t>
            </w:r>
          </w:p>
          <w:p w14:paraId="560E705A" w14:textId="46F6043C" w:rsidR="009F1046" w:rsidRPr="00A747EF" w:rsidRDefault="009F1046" w:rsidP="00A747EF">
            <w:pPr>
              <w:jc w:val="both"/>
            </w:pPr>
            <w:r w:rsidRPr="00A747EF">
              <w:t>Development of life saving skills</w:t>
            </w:r>
          </w:p>
          <w:p w14:paraId="5CBA195A" w14:textId="4B5EAB6B" w:rsidR="006B5C86" w:rsidRPr="00A747EF" w:rsidRDefault="006B5C86" w:rsidP="00A747EF">
            <w:pPr>
              <w:jc w:val="both"/>
            </w:pPr>
          </w:p>
        </w:tc>
      </w:tr>
    </w:tbl>
    <w:p w14:paraId="2B0BAFDE" w14:textId="4ED79AAA" w:rsidR="0066003E" w:rsidRPr="00A747EF" w:rsidRDefault="0066003E" w:rsidP="00A747EF">
      <w:pPr>
        <w:jc w:val="both"/>
      </w:pPr>
    </w:p>
    <w:p w14:paraId="7A66A2E0" w14:textId="47376FE0" w:rsidR="0066003E" w:rsidRPr="00A747EF" w:rsidRDefault="006B5C86" w:rsidP="00A747EF">
      <w:pPr>
        <w:jc w:val="both"/>
        <w:rPr>
          <w:b/>
        </w:rPr>
      </w:pPr>
      <w:r w:rsidRPr="00A747EF">
        <w:rPr>
          <w:b/>
        </w:rPr>
        <w:t xml:space="preserve">Swimming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268"/>
        <w:gridCol w:w="1270"/>
        <w:gridCol w:w="1271"/>
        <w:gridCol w:w="1278"/>
        <w:gridCol w:w="1270"/>
        <w:gridCol w:w="1377"/>
      </w:tblGrid>
      <w:tr w:rsidR="006B5C86" w:rsidRPr="00A747EF" w14:paraId="1D6A7ED1" w14:textId="77777777" w:rsidTr="006B5C86">
        <w:tc>
          <w:tcPr>
            <w:tcW w:w="1288" w:type="dxa"/>
          </w:tcPr>
          <w:p w14:paraId="71CF1EF8" w14:textId="77777777" w:rsidR="006B5C86" w:rsidRPr="00A747EF" w:rsidRDefault="006B5C86" w:rsidP="00A747EF">
            <w:pPr>
              <w:jc w:val="both"/>
            </w:pPr>
          </w:p>
        </w:tc>
        <w:tc>
          <w:tcPr>
            <w:tcW w:w="1288" w:type="dxa"/>
          </w:tcPr>
          <w:p w14:paraId="31E3FEEA" w14:textId="15AFF5FF" w:rsidR="006B5C86" w:rsidRPr="00A747EF" w:rsidRDefault="006B5C86" w:rsidP="00A747EF">
            <w:pPr>
              <w:jc w:val="both"/>
            </w:pPr>
            <w:r w:rsidRPr="00A747EF">
              <w:t xml:space="preserve">Front crawl </w:t>
            </w:r>
          </w:p>
        </w:tc>
        <w:tc>
          <w:tcPr>
            <w:tcW w:w="1288" w:type="dxa"/>
          </w:tcPr>
          <w:p w14:paraId="12B7235D" w14:textId="399A24C8" w:rsidR="006B5C86" w:rsidRPr="00A747EF" w:rsidRDefault="006B5C86" w:rsidP="00A747EF">
            <w:pPr>
              <w:jc w:val="both"/>
            </w:pPr>
            <w:r w:rsidRPr="00A747EF">
              <w:t xml:space="preserve">Back stroke </w:t>
            </w:r>
          </w:p>
        </w:tc>
        <w:tc>
          <w:tcPr>
            <w:tcW w:w="1288" w:type="dxa"/>
          </w:tcPr>
          <w:p w14:paraId="16D45DC9" w14:textId="49070F07" w:rsidR="006B5C86" w:rsidRPr="00A747EF" w:rsidRDefault="006B5C86" w:rsidP="00A747EF">
            <w:pPr>
              <w:jc w:val="both"/>
            </w:pPr>
            <w:r w:rsidRPr="00A747EF">
              <w:t>Breast stroke</w:t>
            </w:r>
          </w:p>
        </w:tc>
        <w:tc>
          <w:tcPr>
            <w:tcW w:w="1288" w:type="dxa"/>
          </w:tcPr>
          <w:p w14:paraId="6C1EA7EE" w14:textId="21B7F3D8" w:rsidR="006B5C86" w:rsidRPr="00A747EF" w:rsidRDefault="006B5C86" w:rsidP="00A747EF">
            <w:pPr>
              <w:jc w:val="both"/>
            </w:pPr>
            <w:r w:rsidRPr="00A747EF">
              <w:t xml:space="preserve">Personal survival </w:t>
            </w:r>
          </w:p>
        </w:tc>
        <w:tc>
          <w:tcPr>
            <w:tcW w:w="1288" w:type="dxa"/>
          </w:tcPr>
          <w:p w14:paraId="6F1D5357" w14:textId="5515D2E8" w:rsidR="006B5C86" w:rsidRPr="00A747EF" w:rsidRDefault="006B5C86" w:rsidP="00A747EF">
            <w:pPr>
              <w:jc w:val="both"/>
            </w:pPr>
            <w:r w:rsidRPr="00A747EF">
              <w:t xml:space="preserve">Life saving </w:t>
            </w:r>
          </w:p>
        </w:tc>
        <w:tc>
          <w:tcPr>
            <w:tcW w:w="1288" w:type="dxa"/>
          </w:tcPr>
          <w:p w14:paraId="53131070" w14:textId="2FC0011C" w:rsidR="006B5C86" w:rsidRPr="00A747EF" w:rsidRDefault="006B5C86" w:rsidP="00A747EF">
            <w:pPr>
              <w:jc w:val="both"/>
            </w:pPr>
            <w:r w:rsidRPr="00A747EF">
              <w:t xml:space="preserve">Overall performance </w:t>
            </w:r>
          </w:p>
        </w:tc>
      </w:tr>
      <w:tr w:rsidR="006B5C86" w:rsidRPr="00A747EF" w14:paraId="609DBE1A" w14:textId="77777777" w:rsidTr="006B5C86">
        <w:trPr>
          <w:trHeight w:val="297"/>
        </w:trPr>
        <w:tc>
          <w:tcPr>
            <w:tcW w:w="1288" w:type="dxa"/>
          </w:tcPr>
          <w:p w14:paraId="198FE182" w14:textId="15667F63" w:rsidR="006B5C86" w:rsidRPr="00A747EF" w:rsidRDefault="006B5C86" w:rsidP="00A747EF">
            <w:pPr>
              <w:jc w:val="both"/>
            </w:pPr>
            <w:r w:rsidRPr="00A747EF">
              <w:t xml:space="preserve">Exceeding </w:t>
            </w:r>
          </w:p>
        </w:tc>
        <w:tc>
          <w:tcPr>
            <w:tcW w:w="1288" w:type="dxa"/>
          </w:tcPr>
          <w:p w14:paraId="3FCAF9F0" w14:textId="1570E3F2" w:rsidR="006B5C86" w:rsidRPr="00A747EF" w:rsidRDefault="006B5C86" w:rsidP="00A747EF">
            <w:pPr>
              <w:jc w:val="both"/>
            </w:pPr>
            <w:r w:rsidRPr="00A747EF">
              <w:t>42%</w:t>
            </w:r>
          </w:p>
        </w:tc>
        <w:tc>
          <w:tcPr>
            <w:tcW w:w="1288" w:type="dxa"/>
          </w:tcPr>
          <w:p w14:paraId="68E3517D" w14:textId="3E03ACC2" w:rsidR="006B5C86" w:rsidRPr="00A747EF" w:rsidRDefault="006B5C86" w:rsidP="00A747EF">
            <w:pPr>
              <w:jc w:val="both"/>
            </w:pPr>
            <w:r w:rsidRPr="00A747EF">
              <w:t>40%</w:t>
            </w:r>
          </w:p>
        </w:tc>
        <w:tc>
          <w:tcPr>
            <w:tcW w:w="1288" w:type="dxa"/>
          </w:tcPr>
          <w:p w14:paraId="73BA186D" w14:textId="537CB137" w:rsidR="006B5C86" w:rsidRPr="00A747EF" w:rsidRDefault="006B5C86" w:rsidP="00A747EF">
            <w:pPr>
              <w:jc w:val="both"/>
            </w:pPr>
            <w:r w:rsidRPr="00A747EF">
              <w:t>25%</w:t>
            </w:r>
          </w:p>
        </w:tc>
        <w:tc>
          <w:tcPr>
            <w:tcW w:w="1288" w:type="dxa"/>
          </w:tcPr>
          <w:p w14:paraId="4547FCA4" w14:textId="17A1CB5C" w:rsidR="006B5C86" w:rsidRPr="00A747EF" w:rsidRDefault="006B5C86" w:rsidP="00A747EF">
            <w:pPr>
              <w:jc w:val="both"/>
            </w:pPr>
            <w:r w:rsidRPr="00A747EF">
              <w:t>37%</w:t>
            </w:r>
          </w:p>
        </w:tc>
        <w:tc>
          <w:tcPr>
            <w:tcW w:w="1288" w:type="dxa"/>
          </w:tcPr>
          <w:p w14:paraId="75B400E8" w14:textId="4805B762" w:rsidR="006B5C86" w:rsidRPr="00A747EF" w:rsidRDefault="006B5C86" w:rsidP="00A747EF">
            <w:pPr>
              <w:jc w:val="both"/>
            </w:pPr>
            <w:r w:rsidRPr="00A747EF">
              <w:t>12%</w:t>
            </w:r>
          </w:p>
        </w:tc>
        <w:tc>
          <w:tcPr>
            <w:tcW w:w="1288" w:type="dxa"/>
          </w:tcPr>
          <w:p w14:paraId="1593C29D" w14:textId="08276B05" w:rsidR="006B5C86" w:rsidRPr="00A747EF" w:rsidRDefault="00620C32" w:rsidP="00A747EF">
            <w:pPr>
              <w:jc w:val="both"/>
            </w:pPr>
            <w:r w:rsidRPr="00A747EF">
              <w:t>33%</w:t>
            </w:r>
          </w:p>
        </w:tc>
      </w:tr>
      <w:tr w:rsidR="006B5C86" w:rsidRPr="00A747EF" w14:paraId="435523F1" w14:textId="77777777" w:rsidTr="006B5C86">
        <w:tc>
          <w:tcPr>
            <w:tcW w:w="1288" w:type="dxa"/>
          </w:tcPr>
          <w:p w14:paraId="1E92C6B6" w14:textId="3CA8DC3A" w:rsidR="006B5C86" w:rsidRPr="00A747EF" w:rsidRDefault="006B5C86" w:rsidP="00A747EF">
            <w:pPr>
              <w:jc w:val="both"/>
            </w:pPr>
            <w:r w:rsidRPr="00A747EF">
              <w:t xml:space="preserve">Expected </w:t>
            </w:r>
          </w:p>
        </w:tc>
        <w:tc>
          <w:tcPr>
            <w:tcW w:w="1288" w:type="dxa"/>
          </w:tcPr>
          <w:p w14:paraId="7FDDF0BB" w14:textId="26E57DE7" w:rsidR="006B5C86" w:rsidRPr="00A747EF" w:rsidRDefault="006B5C86" w:rsidP="00A747EF">
            <w:pPr>
              <w:jc w:val="both"/>
            </w:pPr>
            <w:r w:rsidRPr="00A747EF">
              <w:t>42%</w:t>
            </w:r>
          </w:p>
        </w:tc>
        <w:tc>
          <w:tcPr>
            <w:tcW w:w="1288" w:type="dxa"/>
          </w:tcPr>
          <w:p w14:paraId="0069341E" w14:textId="2E075D87" w:rsidR="006B5C86" w:rsidRPr="00A747EF" w:rsidRDefault="006B5C86" w:rsidP="00A747EF">
            <w:pPr>
              <w:jc w:val="both"/>
            </w:pPr>
            <w:r w:rsidRPr="00A747EF">
              <w:t>42%</w:t>
            </w:r>
          </w:p>
        </w:tc>
        <w:tc>
          <w:tcPr>
            <w:tcW w:w="1288" w:type="dxa"/>
          </w:tcPr>
          <w:p w14:paraId="5F0111E0" w14:textId="71A7700E" w:rsidR="006B5C86" w:rsidRPr="00A747EF" w:rsidRDefault="006B5C86" w:rsidP="00A747EF">
            <w:pPr>
              <w:jc w:val="both"/>
            </w:pPr>
            <w:r w:rsidRPr="00A747EF">
              <w:t>20%</w:t>
            </w:r>
          </w:p>
        </w:tc>
        <w:tc>
          <w:tcPr>
            <w:tcW w:w="1288" w:type="dxa"/>
          </w:tcPr>
          <w:p w14:paraId="4717BA4F" w14:textId="3503421E" w:rsidR="006B5C86" w:rsidRPr="00A747EF" w:rsidRDefault="006B5C86" w:rsidP="00A747EF">
            <w:pPr>
              <w:jc w:val="both"/>
            </w:pPr>
            <w:r w:rsidRPr="00A747EF">
              <w:t>28%</w:t>
            </w:r>
          </w:p>
        </w:tc>
        <w:tc>
          <w:tcPr>
            <w:tcW w:w="1288" w:type="dxa"/>
          </w:tcPr>
          <w:p w14:paraId="74533B31" w14:textId="1E5917ED" w:rsidR="006B5C86" w:rsidRPr="00A747EF" w:rsidRDefault="006B5C86" w:rsidP="00A747EF">
            <w:pPr>
              <w:jc w:val="both"/>
            </w:pPr>
            <w:r w:rsidRPr="00A747EF">
              <w:t>7%</w:t>
            </w:r>
          </w:p>
        </w:tc>
        <w:tc>
          <w:tcPr>
            <w:tcW w:w="1288" w:type="dxa"/>
          </w:tcPr>
          <w:p w14:paraId="3812C67B" w14:textId="6B414421" w:rsidR="006B5C86" w:rsidRPr="00A747EF" w:rsidRDefault="00620C32" w:rsidP="00A747EF">
            <w:pPr>
              <w:jc w:val="both"/>
            </w:pPr>
            <w:r w:rsidRPr="00A747EF">
              <w:t>35%</w:t>
            </w:r>
          </w:p>
        </w:tc>
      </w:tr>
      <w:tr w:rsidR="006B5C86" w:rsidRPr="00A747EF" w14:paraId="413A80D6" w14:textId="77777777" w:rsidTr="006B5C86">
        <w:trPr>
          <w:trHeight w:val="241"/>
        </w:trPr>
        <w:tc>
          <w:tcPr>
            <w:tcW w:w="1288" w:type="dxa"/>
          </w:tcPr>
          <w:p w14:paraId="3450A46D" w14:textId="351583DF" w:rsidR="006B5C86" w:rsidRPr="00A747EF" w:rsidRDefault="006B5C86" w:rsidP="00A747EF">
            <w:pPr>
              <w:jc w:val="both"/>
            </w:pPr>
            <w:r w:rsidRPr="00A747EF">
              <w:t xml:space="preserve">Working towards </w:t>
            </w:r>
          </w:p>
        </w:tc>
        <w:tc>
          <w:tcPr>
            <w:tcW w:w="1288" w:type="dxa"/>
          </w:tcPr>
          <w:p w14:paraId="14C0B534" w14:textId="4D1BC93B" w:rsidR="006B5C86" w:rsidRPr="00A747EF" w:rsidRDefault="006B5C86" w:rsidP="00A747EF">
            <w:pPr>
              <w:jc w:val="both"/>
            </w:pPr>
            <w:r w:rsidRPr="00A747EF">
              <w:t>16%</w:t>
            </w:r>
          </w:p>
        </w:tc>
        <w:tc>
          <w:tcPr>
            <w:tcW w:w="1288" w:type="dxa"/>
          </w:tcPr>
          <w:p w14:paraId="3FF449EE" w14:textId="6B9BCFB8" w:rsidR="006B5C86" w:rsidRPr="00A747EF" w:rsidRDefault="006B5C86" w:rsidP="00A747EF">
            <w:pPr>
              <w:jc w:val="both"/>
            </w:pPr>
            <w:r w:rsidRPr="00A747EF">
              <w:t>18%</w:t>
            </w:r>
          </w:p>
        </w:tc>
        <w:tc>
          <w:tcPr>
            <w:tcW w:w="1288" w:type="dxa"/>
          </w:tcPr>
          <w:p w14:paraId="19C51897" w14:textId="3F82CA90" w:rsidR="006B5C86" w:rsidRPr="00A747EF" w:rsidRDefault="006B5C86" w:rsidP="00A747EF">
            <w:pPr>
              <w:jc w:val="both"/>
            </w:pPr>
            <w:r w:rsidRPr="00A747EF">
              <w:t>55%</w:t>
            </w:r>
          </w:p>
        </w:tc>
        <w:tc>
          <w:tcPr>
            <w:tcW w:w="1288" w:type="dxa"/>
          </w:tcPr>
          <w:p w14:paraId="394D0643" w14:textId="590C4D7E" w:rsidR="006B5C86" w:rsidRPr="00A747EF" w:rsidRDefault="006B5C86" w:rsidP="00A747EF">
            <w:pPr>
              <w:jc w:val="both"/>
            </w:pPr>
            <w:r w:rsidRPr="00A747EF">
              <w:t>35%</w:t>
            </w:r>
          </w:p>
        </w:tc>
        <w:tc>
          <w:tcPr>
            <w:tcW w:w="1288" w:type="dxa"/>
          </w:tcPr>
          <w:p w14:paraId="5AF61506" w14:textId="5AF79319" w:rsidR="006B5C86" w:rsidRPr="00A747EF" w:rsidRDefault="006B5C86" w:rsidP="00A747EF">
            <w:pPr>
              <w:jc w:val="both"/>
            </w:pPr>
            <w:r w:rsidRPr="00A747EF">
              <w:t>82%</w:t>
            </w:r>
          </w:p>
        </w:tc>
        <w:tc>
          <w:tcPr>
            <w:tcW w:w="1288" w:type="dxa"/>
          </w:tcPr>
          <w:p w14:paraId="2D917B78" w14:textId="41DF915C" w:rsidR="006B5C86" w:rsidRPr="00A747EF" w:rsidRDefault="00620C32" w:rsidP="00A747EF">
            <w:pPr>
              <w:jc w:val="both"/>
            </w:pPr>
            <w:r w:rsidRPr="00A747EF">
              <w:t>32%</w:t>
            </w:r>
          </w:p>
        </w:tc>
      </w:tr>
    </w:tbl>
    <w:p w14:paraId="4E83534D" w14:textId="77777777" w:rsidR="0066003E" w:rsidRPr="00A747EF" w:rsidRDefault="0066003E" w:rsidP="00A747EF">
      <w:pPr>
        <w:jc w:val="both"/>
      </w:pPr>
    </w:p>
    <w:p w14:paraId="17C12360" w14:textId="550A6ABD" w:rsidR="0066003E" w:rsidRPr="00A747EF" w:rsidRDefault="00620C32" w:rsidP="00A747EF">
      <w:pPr>
        <w:jc w:val="both"/>
        <w:rPr>
          <w:b/>
        </w:rPr>
      </w:pPr>
      <w:r w:rsidRPr="00A747EF">
        <w:rPr>
          <w:b/>
        </w:rPr>
        <w:t xml:space="preserve">Current Picture </w:t>
      </w:r>
    </w:p>
    <w:p w14:paraId="715D71D5" w14:textId="299BE420" w:rsidR="00620C32" w:rsidRPr="00A747EF" w:rsidRDefault="00620C32" w:rsidP="00A747EF">
      <w:pPr>
        <w:pStyle w:val="ListParagraph"/>
        <w:numPr>
          <w:ilvl w:val="0"/>
          <w:numId w:val="4"/>
        </w:numPr>
        <w:jc w:val="both"/>
      </w:pPr>
      <w:r w:rsidRPr="00A747EF">
        <w:t>All children in KS2 have 8 swimming lessons each year beginning with front crawl and backstroke</w:t>
      </w:r>
    </w:p>
    <w:p w14:paraId="704BDE4B" w14:textId="030B0728" w:rsidR="00620C32" w:rsidRPr="00A747EF" w:rsidRDefault="00620C32" w:rsidP="00A747EF">
      <w:pPr>
        <w:pStyle w:val="ListParagraph"/>
        <w:numPr>
          <w:ilvl w:val="0"/>
          <w:numId w:val="4"/>
        </w:numPr>
        <w:jc w:val="both"/>
      </w:pPr>
      <w:r w:rsidRPr="00A747EF">
        <w:t xml:space="preserve">If children meet the expected standard breast stroke and personal </w:t>
      </w:r>
      <w:r w:rsidR="00D47123" w:rsidRPr="00A747EF">
        <w:t>survival</w:t>
      </w:r>
      <w:r w:rsidRPr="00A747EF">
        <w:t xml:space="preserve"> skill are taught</w:t>
      </w:r>
    </w:p>
    <w:p w14:paraId="7CA3D6E7" w14:textId="12647F18" w:rsidR="00620C32" w:rsidRPr="00A747EF" w:rsidRDefault="00620C32" w:rsidP="00A747EF">
      <w:pPr>
        <w:pStyle w:val="ListParagraph"/>
        <w:numPr>
          <w:ilvl w:val="0"/>
          <w:numId w:val="4"/>
        </w:numPr>
        <w:jc w:val="both"/>
      </w:pPr>
      <w:r w:rsidRPr="00A747EF">
        <w:t xml:space="preserve">Once the above skills are </w:t>
      </w:r>
      <w:r w:rsidR="00D47123" w:rsidRPr="00A747EF">
        <w:t>mastered</w:t>
      </w:r>
      <w:r w:rsidRPr="00A747EF">
        <w:t xml:space="preserve"> the children progress to life saving </w:t>
      </w:r>
      <w:r w:rsidR="00D47123" w:rsidRPr="00A747EF">
        <w:t>skills</w:t>
      </w:r>
    </w:p>
    <w:p w14:paraId="742C489F" w14:textId="3A6156D8" w:rsidR="00493242" w:rsidRPr="00A747EF" w:rsidRDefault="00493242" w:rsidP="00A747EF">
      <w:pPr>
        <w:pStyle w:val="ListParagraph"/>
        <w:numPr>
          <w:ilvl w:val="0"/>
          <w:numId w:val="4"/>
        </w:numPr>
        <w:jc w:val="both"/>
      </w:pPr>
      <w:r w:rsidRPr="00A747EF">
        <w:t xml:space="preserve">This </w:t>
      </w:r>
      <w:r w:rsidR="00DC4845" w:rsidRPr="00A747EF">
        <w:t xml:space="preserve">current </w:t>
      </w:r>
      <w:r w:rsidR="001C519C" w:rsidRPr="00A747EF">
        <w:t>program was implemented in 2017</w:t>
      </w:r>
    </w:p>
    <w:p w14:paraId="7AA8D787" w14:textId="40F80B8F" w:rsidR="001C519C" w:rsidRPr="00A747EF" w:rsidRDefault="001C519C" w:rsidP="00A747EF">
      <w:pPr>
        <w:pStyle w:val="ListParagraph"/>
        <w:numPr>
          <w:ilvl w:val="0"/>
          <w:numId w:val="4"/>
        </w:numPr>
        <w:jc w:val="both"/>
      </w:pPr>
      <w:r w:rsidRPr="00A747EF">
        <w:t xml:space="preserve">Children in years 3, 4, 5 and 6 are given the opportunity to complete in annual swimming gala, </w:t>
      </w:r>
      <w:r w:rsidR="00D47123" w:rsidRPr="00A747EF">
        <w:t>in</w:t>
      </w:r>
      <w:r w:rsidRPr="00A747EF">
        <w:t xml:space="preserve"> preparation for this they receive two additional swimming lessons. </w:t>
      </w:r>
    </w:p>
    <w:p w14:paraId="379EB8FC" w14:textId="77777777" w:rsidR="001C519C" w:rsidRPr="00A747EF" w:rsidRDefault="001C519C" w:rsidP="00A747EF">
      <w:pPr>
        <w:ind w:left="360"/>
        <w:jc w:val="both"/>
      </w:pPr>
    </w:p>
    <w:p w14:paraId="6776DDAF" w14:textId="77777777" w:rsidR="0066003E" w:rsidRPr="00A747EF" w:rsidRDefault="0066003E" w:rsidP="00A747EF">
      <w:pPr>
        <w:jc w:val="both"/>
      </w:pPr>
    </w:p>
    <w:p w14:paraId="7F1977F4" w14:textId="77777777" w:rsidR="0066003E" w:rsidRPr="00A747EF" w:rsidRDefault="0066003E" w:rsidP="00A747EF">
      <w:pPr>
        <w:jc w:val="both"/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501"/>
        <w:gridCol w:w="1775"/>
        <w:gridCol w:w="1772"/>
        <w:gridCol w:w="1784"/>
        <w:gridCol w:w="2516"/>
      </w:tblGrid>
      <w:tr w:rsidR="00D91666" w:rsidRPr="00A747EF" w14:paraId="6C0E4801" w14:textId="77777777" w:rsidTr="001C39FB">
        <w:tc>
          <w:tcPr>
            <w:tcW w:w="2501" w:type="dxa"/>
            <w:shd w:val="clear" w:color="auto" w:fill="D9D9D9" w:themeFill="background1" w:themeFillShade="D9"/>
          </w:tcPr>
          <w:p w14:paraId="4C36C245" w14:textId="77777777" w:rsidR="00D91666" w:rsidRPr="00A747EF" w:rsidRDefault="00D91666" w:rsidP="00A747EF">
            <w:pPr>
              <w:spacing w:after="160" w:line="259" w:lineRule="auto"/>
              <w:jc w:val="both"/>
              <w:rPr>
                <w:b/>
              </w:rPr>
            </w:pPr>
            <w:r w:rsidRPr="00A747EF">
              <w:rPr>
                <w:b/>
              </w:rPr>
              <w:lastRenderedPageBreak/>
              <w:t>Area of focus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6BC7A535" w14:textId="77777777" w:rsidR="00D91666" w:rsidRPr="00A747EF" w:rsidRDefault="00D91666" w:rsidP="00A747EF">
            <w:pPr>
              <w:spacing w:after="160" w:line="259" w:lineRule="auto"/>
              <w:jc w:val="both"/>
              <w:rPr>
                <w:b/>
                <w:sz w:val="16"/>
                <w:szCs w:val="16"/>
              </w:rPr>
            </w:pPr>
            <w:r w:rsidRPr="00A747EF">
              <w:rPr>
                <w:b/>
                <w:sz w:val="16"/>
                <w:szCs w:val="16"/>
              </w:rPr>
              <w:t xml:space="preserve">Activities </w:t>
            </w:r>
          </w:p>
          <w:p w14:paraId="6519E1C8" w14:textId="77777777" w:rsidR="00D91666" w:rsidRPr="00A747EF" w:rsidRDefault="00D91666" w:rsidP="00A747EF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A747EF">
              <w:rPr>
                <w:sz w:val="16"/>
                <w:szCs w:val="16"/>
              </w:rPr>
              <w:t>(</w:t>
            </w:r>
            <w:r w:rsidRPr="00A747EF">
              <w:rPr>
                <w:i/>
                <w:sz w:val="16"/>
                <w:szCs w:val="16"/>
              </w:rPr>
              <w:t>Key actions identified to improve provision in each area)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2CF7957E" w14:textId="77777777" w:rsidR="00D91666" w:rsidRPr="00A747EF" w:rsidRDefault="00D91666" w:rsidP="00A747EF">
            <w:pPr>
              <w:spacing w:after="160" w:line="259" w:lineRule="auto"/>
              <w:jc w:val="both"/>
              <w:rPr>
                <w:b/>
              </w:rPr>
            </w:pPr>
            <w:r w:rsidRPr="00A747EF">
              <w:rPr>
                <w:b/>
              </w:rPr>
              <w:t xml:space="preserve">Funding </w:t>
            </w:r>
          </w:p>
          <w:p w14:paraId="312EC277" w14:textId="77777777" w:rsidR="00D91666" w:rsidRPr="00A747EF" w:rsidRDefault="00D91666" w:rsidP="00A747EF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A747EF">
              <w:rPr>
                <w:sz w:val="16"/>
                <w:szCs w:val="16"/>
              </w:rPr>
              <w:t>(</w:t>
            </w:r>
            <w:r w:rsidRPr="00A747EF">
              <w:rPr>
                <w:i/>
                <w:sz w:val="16"/>
                <w:szCs w:val="16"/>
              </w:rPr>
              <w:t>Breakdown of what w</w:t>
            </w:r>
            <w:r w:rsidR="002D7507" w:rsidRPr="00A747EF">
              <w:rPr>
                <w:i/>
                <w:sz w:val="16"/>
                <w:szCs w:val="16"/>
              </w:rPr>
              <w:t>ill</w:t>
            </w:r>
            <w:r w:rsidRPr="00A747EF">
              <w:rPr>
                <w:i/>
                <w:sz w:val="16"/>
                <w:szCs w:val="16"/>
              </w:rPr>
              <w:t xml:space="preserve"> be spent)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9E711D7" w14:textId="77777777" w:rsidR="00D91666" w:rsidRPr="00A747EF" w:rsidRDefault="00D91666" w:rsidP="00A747EF">
            <w:pPr>
              <w:spacing w:after="160" w:line="259" w:lineRule="auto"/>
              <w:jc w:val="both"/>
              <w:rPr>
                <w:b/>
              </w:rPr>
            </w:pPr>
            <w:r w:rsidRPr="00A747EF">
              <w:rPr>
                <w:b/>
              </w:rPr>
              <w:t xml:space="preserve">Impact </w:t>
            </w:r>
          </w:p>
          <w:p w14:paraId="60A4514D" w14:textId="77777777" w:rsidR="00D91666" w:rsidRPr="00A747EF" w:rsidRDefault="00D91666" w:rsidP="00A747EF">
            <w:pPr>
              <w:spacing w:after="160" w:line="259" w:lineRule="auto"/>
              <w:jc w:val="both"/>
              <w:rPr>
                <w:i/>
              </w:rPr>
            </w:pPr>
            <w:r w:rsidRPr="00A747EF">
              <w:rPr>
                <w:i/>
                <w:sz w:val="16"/>
                <w:szCs w:val="16"/>
              </w:rPr>
              <w:t>(The difference the funding has made/ will make)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1ACFDBE7" w14:textId="77777777" w:rsidR="00D91666" w:rsidRPr="00A747EF" w:rsidRDefault="00D91666" w:rsidP="00A747EF">
            <w:pPr>
              <w:spacing w:after="160" w:line="259" w:lineRule="auto"/>
              <w:jc w:val="both"/>
              <w:rPr>
                <w:b/>
              </w:rPr>
            </w:pPr>
            <w:r w:rsidRPr="00A747EF">
              <w:rPr>
                <w:b/>
              </w:rPr>
              <w:t xml:space="preserve">Evidence </w:t>
            </w:r>
          </w:p>
          <w:p w14:paraId="3333FA18" w14:textId="34B385AF" w:rsidR="00D91666" w:rsidRPr="00A747EF" w:rsidRDefault="00D91666" w:rsidP="00A747EF">
            <w:pPr>
              <w:spacing w:after="160" w:line="259" w:lineRule="auto"/>
              <w:jc w:val="both"/>
              <w:rPr>
                <w:i/>
                <w:sz w:val="16"/>
                <w:szCs w:val="16"/>
              </w:rPr>
            </w:pPr>
            <w:r w:rsidRPr="00A747EF">
              <w:rPr>
                <w:i/>
                <w:sz w:val="16"/>
                <w:szCs w:val="16"/>
              </w:rPr>
              <w:t>(Sources of evidence on which t</w:t>
            </w:r>
            <w:r w:rsidR="00CD3F7C" w:rsidRPr="00A747EF">
              <w:rPr>
                <w:i/>
                <w:sz w:val="16"/>
                <w:szCs w:val="16"/>
              </w:rPr>
              <w:t xml:space="preserve">he end of year evaluation will </w:t>
            </w:r>
            <w:r w:rsidRPr="00A747EF">
              <w:rPr>
                <w:i/>
                <w:sz w:val="16"/>
                <w:szCs w:val="16"/>
              </w:rPr>
              <w:t>be based on)</w:t>
            </w:r>
          </w:p>
        </w:tc>
      </w:tr>
      <w:tr w:rsidR="00D91666" w:rsidRPr="00A747EF" w14:paraId="6EC9614C" w14:textId="77777777" w:rsidTr="001C39FB">
        <w:tc>
          <w:tcPr>
            <w:tcW w:w="2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sz w:val="20"/>
                <w:szCs w:val="20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7AED2DAB" w14:textId="77777777" w:rsidR="00D91666" w:rsidRPr="00A747EF" w:rsidRDefault="00D91666" w:rsidP="00A747EF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A747EF">
                  <w:rPr>
                    <w:b/>
                    <w:sz w:val="20"/>
                    <w:szCs w:val="20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77FDFB1E" w14:textId="77777777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</w:p>
          <w:p w14:paraId="6597B3CB" w14:textId="77777777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635E" w14:textId="37857F72" w:rsidR="00D91666" w:rsidRPr="00A747EF" w:rsidRDefault="002212EC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Sports </w:t>
            </w:r>
            <w:r w:rsidR="007B5EF0" w:rsidRPr="00A747EF">
              <w:rPr>
                <w:sz w:val="20"/>
                <w:szCs w:val="20"/>
              </w:rPr>
              <w:t>Coaching</w:t>
            </w:r>
            <w:r w:rsidRPr="00A747EF">
              <w:rPr>
                <w:sz w:val="20"/>
                <w:szCs w:val="20"/>
              </w:rPr>
              <w:t xml:space="preserve"> under the direction of the PE teacher </w:t>
            </w:r>
            <w:r w:rsidR="00D91666" w:rsidRPr="00A747EF">
              <w:rPr>
                <w:sz w:val="20"/>
                <w:szCs w:val="20"/>
              </w:rPr>
              <w:t xml:space="preserve">at lunchtime and break time to run sporting activities.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2B68" w14:textId="04792C47" w:rsidR="00F141D7" w:rsidRPr="00A747EF" w:rsidRDefault="0066003E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 </w:t>
            </w:r>
            <w:r w:rsidR="007B5EF0" w:rsidRPr="00A747EF">
              <w:rPr>
                <w:sz w:val="20"/>
                <w:szCs w:val="20"/>
              </w:rPr>
              <w:t>£8,482</w:t>
            </w:r>
          </w:p>
        </w:tc>
        <w:tc>
          <w:tcPr>
            <w:tcW w:w="1784" w:type="dxa"/>
          </w:tcPr>
          <w:p w14:paraId="434BEF55" w14:textId="77777777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More children engaged in sporting activities at break and lunchtime </w:t>
            </w:r>
          </w:p>
        </w:tc>
        <w:tc>
          <w:tcPr>
            <w:tcW w:w="2516" w:type="dxa"/>
          </w:tcPr>
          <w:p w14:paraId="78D791D9" w14:textId="77777777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The number of children engaging in sport at lunchtime. </w:t>
            </w:r>
          </w:p>
          <w:p w14:paraId="01031857" w14:textId="77777777" w:rsidR="004D346D" w:rsidRPr="00A747EF" w:rsidRDefault="007C4167" w:rsidP="00A747E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91666" w:rsidRPr="00A747EF" w14:paraId="1233F59B" w14:textId="77777777" w:rsidTr="001C39FB"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69A72" w14:textId="77777777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14:paraId="187FD3C5" w14:textId="53641D16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Sports coaches to run after school clubs</w:t>
            </w:r>
            <w:r w:rsidR="00493242" w:rsidRPr="00A747EF">
              <w:rPr>
                <w:sz w:val="20"/>
                <w:szCs w:val="20"/>
              </w:rPr>
              <w:t xml:space="preserve"> and community projects </w:t>
            </w:r>
          </w:p>
        </w:tc>
        <w:tc>
          <w:tcPr>
            <w:tcW w:w="1772" w:type="dxa"/>
          </w:tcPr>
          <w:p w14:paraId="4685F197" w14:textId="0E63A5FF" w:rsidR="00D91666" w:rsidRPr="00A747EF" w:rsidRDefault="007B5EF0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£8,250</w:t>
            </w:r>
          </w:p>
        </w:tc>
        <w:tc>
          <w:tcPr>
            <w:tcW w:w="1784" w:type="dxa"/>
          </w:tcPr>
          <w:p w14:paraId="1B920573" w14:textId="77777777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The number of children able to join afterschool clubs increases. Leading to improved achievement in competitions and lessons as skills can be developed. </w:t>
            </w:r>
          </w:p>
        </w:tc>
        <w:tc>
          <w:tcPr>
            <w:tcW w:w="2516" w:type="dxa"/>
          </w:tcPr>
          <w:p w14:paraId="4BE7CD37" w14:textId="77777777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Number of children accessing after school clubs</w:t>
            </w:r>
          </w:p>
          <w:p w14:paraId="16B898EA" w14:textId="77777777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Club Registers</w:t>
            </w:r>
          </w:p>
          <w:p w14:paraId="42CF0BFE" w14:textId="77777777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Fixture results </w:t>
            </w:r>
          </w:p>
          <w:p w14:paraId="1C0BF7F3" w14:textId="77777777" w:rsidR="004D346D" w:rsidRPr="00A747EF" w:rsidRDefault="007C4167" w:rsidP="00A747E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42468CAA" w14:textId="77777777" w:rsidR="00384058" w:rsidRPr="00A747EF" w:rsidRDefault="00384058" w:rsidP="00A747EF">
      <w:pPr>
        <w:rPr>
          <w:sz w:val="20"/>
          <w:szCs w:val="20"/>
        </w:rPr>
      </w:pP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803"/>
        <w:gridCol w:w="1797"/>
        <w:gridCol w:w="1805"/>
        <w:gridCol w:w="2515"/>
      </w:tblGrid>
      <w:tr w:rsidR="00CD3F7C" w:rsidRPr="00A747EF" w14:paraId="48D1455A" w14:textId="77777777" w:rsidTr="00CD3F7C">
        <w:trPr>
          <w:trHeight w:val="1833"/>
        </w:trPr>
        <w:tc>
          <w:tcPr>
            <w:tcW w:w="2430" w:type="dxa"/>
            <w:shd w:val="clear" w:color="auto" w:fill="D9D9D9" w:themeFill="background1" w:themeFillShade="D9"/>
          </w:tcPr>
          <w:p w14:paraId="19273861" w14:textId="77777777" w:rsidR="00D91666" w:rsidRPr="00A747EF" w:rsidRDefault="00D91666" w:rsidP="00A747E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747EF">
              <w:rPr>
                <w:b/>
                <w:sz w:val="20"/>
                <w:szCs w:val="20"/>
              </w:rPr>
              <w:t>Area of focus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10AA9E02" w14:textId="77777777" w:rsidR="00D91666" w:rsidRPr="00A747EF" w:rsidRDefault="00D91666" w:rsidP="00A747E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747EF">
              <w:rPr>
                <w:b/>
                <w:sz w:val="20"/>
                <w:szCs w:val="20"/>
              </w:rPr>
              <w:t xml:space="preserve">Activities </w:t>
            </w:r>
          </w:p>
          <w:p w14:paraId="7C7C721D" w14:textId="77777777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(</w:t>
            </w:r>
            <w:r w:rsidRPr="00A747EF">
              <w:rPr>
                <w:i/>
                <w:sz w:val="20"/>
                <w:szCs w:val="20"/>
              </w:rPr>
              <w:t>Key actions identified to improve provision in each area)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4D32B600" w14:textId="77777777" w:rsidR="00D91666" w:rsidRPr="00A747EF" w:rsidRDefault="00D91666" w:rsidP="00A747E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747EF">
              <w:rPr>
                <w:b/>
                <w:sz w:val="20"/>
                <w:szCs w:val="20"/>
              </w:rPr>
              <w:t xml:space="preserve">Funding </w:t>
            </w:r>
          </w:p>
          <w:p w14:paraId="2D7CF465" w14:textId="77777777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(</w:t>
            </w:r>
            <w:r w:rsidRPr="00A747EF">
              <w:rPr>
                <w:i/>
                <w:sz w:val="20"/>
                <w:szCs w:val="20"/>
              </w:rPr>
              <w:t>Breakdown of what w</w:t>
            </w:r>
            <w:r w:rsidR="002D7507" w:rsidRPr="00A747EF">
              <w:rPr>
                <w:i/>
                <w:sz w:val="20"/>
                <w:szCs w:val="20"/>
              </w:rPr>
              <w:t>ill</w:t>
            </w:r>
            <w:r w:rsidRPr="00A747EF">
              <w:rPr>
                <w:i/>
                <w:sz w:val="20"/>
                <w:szCs w:val="20"/>
              </w:rPr>
              <w:t xml:space="preserve"> be spent)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2DB88ABA" w14:textId="77777777" w:rsidR="00D91666" w:rsidRPr="00A747EF" w:rsidRDefault="00D91666" w:rsidP="00A747E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747EF">
              <w:rPr>
                <w:b/>
                <w:sz w:val="20"/>
                <w:szCs w:val="20"/>
              </w:rPr>
              <w:t xml:space="preserve">Impact </w:t>
            </w:r>
          </w:p>
          <w:p w14:paraId="1BAED8B7" w14:textId="77777777" w:rsidR="00D91666" w:rsidRPr="00A747EF" w:rsidRDefault="00D91666" w:rsidP="00A747EF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A747EF">
              <w:rPr>
                <w:i/>
                <w:sz w:val="20"/>
                <w:szCs w:val="20"/>
              </w:rPr>
              <w:t>(The difference the funding has made/ will make)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1DBCA179" w14:textId="77777777" w:rsidR="00D91666" w:rsidRPr="00A747EF" w:rsidRDefault="00D91666" w:rsidP="00A747E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747EF">
              <w:rPr>
                <w:b/>
                <w:sz w:val="20"/>
                <w:szCs w:val="20"/>
              </w:rPr>
              <w:t xml:space="preserve">Evidence </w:t>
            </w:r>
          </w:p>
          <w:p w14:paraId="688B7340" w14:textId="1BD054B5" w:rsidR="00D91666" w:rsidRPr="00A747EF" w:rsidRDefault="00D91666" w:rsidP="00A747EF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A747EF">
              <w:rPr>
                <w:i/>
                <w:sz w:val="20"/>
                <w:szCs w:val="20"/>
              </w:rPr>
              <w:t>(Sources of evidence on which t</w:t>
            </w:r>
            <w:r w:rsidR="00CD3F7C" w:rsidRPr="00A747EF">
              <w:rPr>
                <w:i/>
                <w:sz w:val="20"/>
                <w:szCs w:val="20"/>
              </w:rPr>
              <w:t xml:space="preserve">he end of year evaluation will </w:t>
            </w:r>
            <w:r w:rsidRPr="00A747EF">
              <w:rPr>
                <w:i/>
                <w:sz w:val="20"/>
                <w:szCs w:val="20"/>
              </w:rPr>
              <w:t>be based on)</w:t>
            </w:r>
          </w:p>
        </w:tc>
      </w:tr>
      <w:tr w:rsidR="00CD3F7C" w:rsidRPr="00A747EF" w14:paraId="365693D6" w14:textId="77777777" w:rsidTr="00CD3F7C">
        <w:trPr>
          <w:trHeight w:val="2240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sz w:val="20"/>
                <w:szCs w:val="20"/>
              </w:rPr>
              <w:id w:val="139453729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1F5E6524" w14:textId="77777777" w:rsidR="00A44CC5" w:rsidRPr="00A747EF" w:rsidRDefault="00A44CC5" w:rsidP="00A747EF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A747EF">
                  <w:rPr>
                    <w:b/>
                    <w:sz w:val="20"/>
                    <w:szCs w:val="20"/>
                  </w:rPr>
                  <w:t>2. the profile of PE and sport being raised across the school as a tool for whole school improvement</w:t>
                </w:r>
              </w:p>
            </w:sdtContent>
          </w:sdt>
          <w:p w14:paraId="035AC895" w14:textId="77777777" w:rsidR="00A44CC5" w:rsidRPr="00A747EF" w:rsidRDefault="00A44CC5" w:rsidP="00A747EF">
            <w:pPr>
              <w:spacing w:after="160" w:line="259" w:lineRule="auto"/>
              <w:rPr>
                <w:sz w:val="20"/>
                <w:szCs w:val="20"/>
              </w:rPr>
            </w:pPr>
          </w:p>
          <w:p w14:paraId="4CCDBFF0" w14:textId="77777777" w:rsidR="00A44CC5" w:rsidRPr="00A747EF" w:rsidRDefault="00A44CC5" w:rsidP="00A747E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C4942CA" w14:textId="6240EA1C" w:rsidR="00A44CC5" w:rsidRPr="00A747EF" w:rsidRDefault="009F104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Train sports council as young coac</w:t>
            </w:r>
            <w:r w:rsidR="007B5EF0" w:rsidRPr="00A747EF">
              <w:rPr>
                <w:sz w:val="20"/>
                <w:szCs w:val="20"/>
              </w:rPr>
              <w:t xml:space="preserve">hes to lead sporting </w:t>
            </w:r>
            <w:r w:rsidR="00226110" w:rsidRPr="00A747EF">
              <w:rPr>
                <w:sz w:val="20"/>
                <w:szCs w:val="20"/>
              </w:rPr>
              <w:t>activities</w:t>
            </w:r>
            <w:r w:rsidR="00A44CC5" w:rsidRPr="00A74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001E80" w14:textId="77777777" w:rsidR="00A44CC5" w:rsidRPr="00A747EF" w:rsidRDefault="00A44CC5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£250.00 </w:t>
            </w:r>
          </w:p>
          <w:p w14:paraId="719408BC" w14:textId="6D9ECFEA" w:rsidR="00A44CC5" w:rsidRPr="00A747EF" w:rsidRDefault="00A44CC5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(10 weeks of after school club)</w:t>
            </w:r>
          </w:p>
        </w:tc>
        <w:tc>
          <w:tcPr>
            <w:tcW w:w="1805" w:type="dxa"/>
          </w:tcPr>
          <w:p w14:paraId="57200DD4" w14:textId="3345D589" w:rsidR="00A44CC5" w:rsidRPr="00A747EF" w:rsidRDefault="009F104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Sports Leaders</w:t>
            </w:r>
            <w:r w:rsidR="00A44CC5" w:rsidRPr="00A747EF">
              <w:rPr>
                <w:sz w:val="20"/>
                <w:szCs w:val="20"/>
              </w:rPr>
              <w:t xml:space="preserve"> lead activities in the playground for KS1, resulting in greater knowledge of how to organise sporting events. </w:t>
            </w:r>
          </w:p>
        </w:tc>
        <w:tc>
          <w:tcPr>
            <w:tcW w:w="2515" w:type="dxa"/>
          </w:tcPr>
          <w:p w14:paraId="5FD0FA92" w14:textId="3B22C773" w:rsidR="00A44CC5" w:rsidRPr="00A747EF" w:rsidRDefault="009F1046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Sports council register</w:t>
            </w:r>
          </w:p>
          <w:p w14:paraId="623214D8" w14:textId="2E5123A6" w:rsidR="00A44CC5" w:rsidRPr="00A747EF" w:rsidRDefault="00A44CC5" w:rsidP="00A747E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670D5C91" w14:textId="77777777" w:rsidR="009F1046" w:rsidRPr="00A747EF" w:rsidRDefault="009F1046" w:rsidP="00A747EF"/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2415"/>
        <w:gridCol w:w="1905"/>
        <w:gridCol w:w="1800"/>
        <w:gridCol w:w="1710"/>
        <w:gridCol w:w="2520"/>
      </w:tblGrid>
      <w:tr w:rsidR="00CD3F7C" w:rsidRPr="00A747EF" w14:paraId="51440C13" w14:textId="77777777" w:rsidTr="00CD3F7C">
        <w:tc>
          <w:tcPr>
            <w:tcW w:w="2415" w:type="dxa"/>
            <w:shd w:val="clear" w:color="auto" w:fill="D9D9D9" w:themeFill="background1" w:themeFillShade="D9"/>
          </w:tcPr>
          <w:p w14:paraId="7B5A97C1" w14:textId="77777777" w:rsidR="00384058" w:rsidRPr="00A747EF" w:rsidRDefault="00384058" w:rsidP="00A747EF">
            <w:pPr>
              <w:spacing w:after="160" w:line="259" w:lineRule="auto"/>
              <w:rPr>
                <w:b/>
              </w:rPr>
            </w:pPr>
          </w:p>
          <w:p w14:paraId="5D7CC72A" w14:textId="77777777" w:rsidR="00D91666" w:rsidRPr="00A747EF" w:rsidRDefault="00D91666" w:rsidP="00A747EF">
            <w:pPr>
              <w:spacing w:after="160" w:line="259" w:lineRule="auto"/>
              <w:rPr>
                <w:b/>
              </w:rPr>
            </w:pPr>
            <w:r w:rsidRPr="00A747EF">
              <w:rPr>
                <w:b/>
              </w:rPr>
              <w:t>Area of focus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16F1806F" w14:textId="77777777" w:rsidR="00D91666" w:rsidRPr="00A747EF" w:rsidRDefault="00D91666" w:rsidP="00A747EF">
            <w:pPr>
              <w:spacing w:after="160" w:line="259" w:lineRule="auto"/>
              <w:rPr>
                <w:b/>
              </w:rPr>
            </w:pPr>
            <w:r w:rsidRPr="00A747EF">
              <w:rPr>
                <w:b/>
              </w:rPr>
              <w:t xml:space="preserve">Activities </w:t>
            </w:r>
          </w:p>
          <w:p w14:paraId="49D8E490" w14:textId="77777777" w:rsidR="00D91666" w:rsidRPr="00A747EF" w:rsidRDefault="00D91666" w:rsidP="00A747EF">
            <w:pPr>
              <w:spacing w:after="160" w:line="259" w:lineRule="auto"/>
            </w:pPr>
            <w:r w:rsidRPr="00A747EF">
              <w:rPr>
                <w:sz w:val="16"/>
                <w:szCs w:val="16"/>
              </w:rPr>
              <w:t>(</w:t>
            </w:r>
            <w:r w:rsidRPr="00A747EF">
              <w:rPr>
                <w:i/>
                <w:sz w:val="16"/>
                <w:szCs w:val="16"/>
              </w:rPr>
              <w:t>Key actions identified to improve provision in each area)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0C531AB" w14:textId="77777777" w:rsidR="00D91666" w:rsidRPr="00A747EF" w:rsidRDefault="00D91666" w:rsidP="00A747EF">
            <w:pPr>
              <w:spacing w:after="160" w:line="259" w:lineRule="auto"/>
              <w:rPr>
                <w:b/>
              </w:rPr>
            </w:pPr>
            <w:r w:rsidRPr="00A747EF">
              <w:rPr>
                <w:b/>
              </w:rPr>
              <w:t xml:space="preserve">Funding </w:t>
            </w:r>
          </w:p>
          <w:p w14:paraId="480F404B" w14:textId="77777777" w:rsidR="00D91666" w:rsidRPr="00A747EF" w:rsidRDefault="00D91666" w:rsidP="00A747EF">
            <w:pPr>
              <w:spacing w:after="160" w:line="259" w:lineRule="auto"/>
              <w:rPr>
                <w:sz w:val="16"/>
                <w:szCs w:val="16"/>
              </w:rPr>
            </w:pPr>
            <w:r w:rsidRPr="00A747EF">
              <w:rPr>
                <w:sz w:val="16"/>
                <w:szCs w:val="16"/>
              </w:rPr>
              <w:t>(</w:t>
            </w:r>
            <w:r w:rsidRPr="00A747EF">
              <w:rPr>
                <w:i/>
                <w:sz w:val="16"/>
                <w:szCs w:val="16"/>
              </w:rPr>
              <w:t>Breakdown of what w</w:t>
            </w:r>
            <w:r w:rsidR="002D7507" w:rsidRPr="00A747EF">
              <w:rPr>
                <w:i/>
                <w:sz w:val="16"/>
                <w:szCs w:val="16"/>
              </w:rPr>
              <w:t>ill</w:t>
            </w:r>
            <w:r w:rsidRPr="00A747EF">
              <w:rPr>
                <w:i/>
                <w:sz w:val="16"/>
                <w:szCs w:val="16"/>
              </w:rPr>
              <w:t xml:space="preserve"> be spent)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C22488D" w14:textId="77777777" w:rsidR="00D91666" w:rsidRPr="00A747EF" w:rsidRDefault="00D91666" w:rsidP="00A747EF">
            <w:pPr>
              <w:spacing w:after="160" w:line="259" w:lineRule="auto"/>
              <w:rPr>
                <w:b/>
              </w:rPr>
            </w:pPr>
            <w:r w:rsidRPr="00A747EF">
              <w:rPr>
                <w:b/>
              </w:rPr>
              <w:t xml:space="preserve">Impact </w:t>
            </w:r>
          </w:p>
          <w:p w14:paraId="1A4611C2" w14:textId="77777777" w:rsidR="00D91666" w:rsidRPr="00A747EF" w:rsidRDefault="00D91666" w:rsidP="00A747EF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A747EF">
              <w:rPr>
                <w:i/>
                <w:sz w:val="16"/>
                <w:szCs w:val="16"/>
              </w:rPr>
              <w:t>(The difference the funding has made/ will make)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D23EC5D" w14:textId="77777777" w:rsidR="00D91666" w:rsidRPr="00A747EF" w:rsidRDefault="00D91666" w:rsidP="00A747EF">
            <w:pPr>
              <w:spacing w:after="160" w:line="259" w:lineRule="auto"/>
              <w:rPr>
                <w:b/>
              </w:rPr>
            </w:pPr>
            <w:r w:rsidRPr="00A747EF">
              <w:rPr>
                <w:b/>
              </w:rPr>
              <w:t xml:space="preserve">Evidence </w:t>
            </w:r>
          </w:p>
          <w:p w14:paraId="362F57B2" w14:textId="1FBD7AE5" w:rsidR="00D91666" w:rsidRPr="00A747EF" w:rsidRDefault="00D91666" w:rsidP="00A747EF">
            <w:pPr>
              <w:spacing w:after="160" w:line="259" w:lineRule="auto"/>
              <w:rPr>
                <w:i/>
              </w:rPr>
            </w:pPr>
            <w:r w:rsidRPr="00A747EF">
              <w:rPr>
                <w:i/>
                <w:sz w:val="16"/>
                <w:szCs w:val="16"/>
              </w:rPr>
              <w:t xml:space="preserve">(Sources of evidence on which the end of year evaluation </w:t>
            </w:r>
            <w:r w:rsidR="00226110" w:rsidRPr="00A747EF">
              <w:rPr>
                <w:i/>
                <w:sz w:val="16"/>
                <w:szCs w:val="16"/>
              </w:rPr>
              <w:t>will be</w:t>
            </w:r>
            <w:r w:rsidRPr="00A747EF">
              <w:rPr>
                <w:i/>
                <w:sz w:val="16"/>
                <w:szCs w:val="16"/>
              </w:rPr>
              <w:t xml:space="preserve"> based on)</w:t>
            </w:r>
          </w:p>
        </w:tc>
      </w:tr>
      <w:tr w:rsidR="00CD3F7C" w:rsidRPr="00A747EF" w14:paraId="7578A35A" w14:textId="77777777" w:rsidTr="00CD3F7C">
        <w:tc>
          <w:tcPr>
            <w:tcW w:w="2415" w:type="dxa"/>
            <w:shd w:val="clear" w:color="auto" w:fill="FFFFFF" w:themeFill="background1"/>
          </w:tcPr>
          <w:sdt>
            <w:sdtPr>
              <w:rPr>
                <w:b/>
                <w:sz w:val="20"/>
                <w:szCs w:val="20"/>
              </w:rPr>
              <w:id w:val="-807477744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3A900886" w14:textId="77777777" w:rsidR="009F1046" w:rsidRPr="00A747EF" w:rsidRDefault="009F1046" w:rsidP="00A747EF">
                <w:pPr>
                  <w:spacing w:after="160" w:line="259" w:lineRule="auto"/>
                  <w:rPr>
                    <w:b/>
                    <w:sz w:val="20"/>
                    <w:szCs w:val="20"/>
                  </w:rPr>
                </w:pPr>
                <w:r w:rsidRPr="00A747EF">
                  <w:rPr>
                    <w:b/>
                    <w:sz w:val="20"/>
                    <w:szCs w:val="20"/>
                  </w:rPr>
                  <w:t>4. broader experience of a range of sports and activities offered to all pupils</w:t>
                </w:r>
              </w:p>
            </w:sdtContent>
          </w:sdt>
          <w:p w14:paraId="42A3CB6E" w14:textId="77777777" w:rsidR="009F1046" w:rsidRPr="00A747EF" w:rsidRDefault="009F1046" w:rsidP="00A747EF">
            <w:pPr>
              <w:spacing w:after="160" w:line="259" w:lineRule="auto"/>
              <w:rPr>
                <w:sz w:val="20"/>
                <w:szCs w:val="20"/>
              </w:rPr>
            </w:pPr>
          </w:p>
          <w:p w14:paraId="20C01121" w14:textId="77777777" w:rsidR="009F1046" w:rsidRPr="00A747EF" w:rsidRDefault="009F1046" w:rsidP="00A747E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2BFAD80F" w14:textId="77777777" w:rsidR="008E4359" w:rsidRPr="00A747EF" w:rsidRDefault="008E4359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lastRenderedPageBreak/>
              <w:t xml:space="preserve">Children in years 3, 4, 5 and 6 are given the opportunity to complete in annual swimming gala, in preparation for this </w:t>
            </w:r>
            <w:r w:rsidRPr="00A747EF">
              <w:rPr>
                <w:sz w:val="20"/>
                <w:szCs w:val="20"/>
              </w:rPr>
              <w:lastRenderedPageBreak/>
              <w:t xml:space="preserve">they receive two additional swimming lessons. </w:t>
            </w:r>
          </w:p>
          <w:p w14:paraId="035DF47C" w14:textId="5E743AA6" w:rsidR="009F1046" w:rsidRPr="00A747EF" w:rsidRDefault="009F1046" w:rsidP="00A747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98971AC" w14:textId="610713BC" w:rsidR="009F1046" w:rsidRPr="00A747EF" w:rsidRDefault="009F1046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lastRenderedPageBreak/>
              <w:t>£</w:t>
            </w:r>
            <w:r w:rsidR="004F7F69" w:rsidRPr="00A747EF">
              <w:rPr>
                <w:sz w:val="20"/>
                <w:szCs w:val="20"/>
              </w:rPr>
              <w:t>300</w:t>
            </w:r>
          </w:p>
        </w:tc>
        <w:tc>
          <w:tcPr>
            <w:tcW w:w="1710" w:type="dxa"/>
            <w:shd w:val="clear" w:color="auto" w:fill="FFFFFF" w:themeFill="background1"/>
          </w:tcPr>
          <w:p w14:paraId="1E4E819A" w14:textId="77777777" w:rsidR="009F1046" w:rsidRPr="00A747EF" w:rsidRDefault="009F1046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Children are signposted to external clubs. </w:t>
            </w:r>
          </w:p>
          <w:p w14:paraId="44CEB97A" w14:textId="77777777" w:rsidR="009F1046" w:rsidRPr="00A747EF" w:rsidRDefault="009F1046" w:rsidP="00A747EF">
            <w:pPr>
              <w:rPr>
                <w:sz w:val="20"/>
                <w:szCs w:val="20"/>
              </w:rPr>
            </w:pPr>
          </w:p>
          <w:p w14:paraId="0B03D8B3" w14:textId="1F1902C9" w:rsidR="009F1046" w:rsidRPr="00A747EF" w:rsidRDefault="009F1046" w:rsidP="00A747E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D9D0BFE" w14:textId="77777777" w:rsidR="009F1046" w:rsidRPr="00A747EF" w:rsidRDefault="009F1046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Number of children competing for the district or county. </w:t>
            </w:r>
          </w:p>
          <w:p w14:paraId="7CE1D541" w14:textId="77777777" w:rsidR="009F1046" w:rsidRPr="00A747EF" w:rsidRDefault="009F1046" w:rsidP="00A747EF">
            <w:pPr>
              <w:rPr>
                <w:sz w:val="20"/>
                <w:szCs w:val="20"/>
              </w:rPr>
            </w:pPr>
          </w:p>
          <w:p w14:paraId="7EBF117A" w14:textId="77777777" w:rsidR="009F1046" w:rsidRPr="00A747EF" w:rsidRDefault="009F1046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lastRenderedPageBreak/>
              <w:t xml:space="preserve">Number of children who have been scouted for their sporting ability. </w:t>
            </w:r>
          </w:p>
          <w:p w14:paraId="59A04B61" w14:textId="3A4B606B" w:rsidR="009F1046" w:rsidRPr="00A747EF" w:rsidRDefault="009F1046" w:rsidP="00A747EF">
            <w:pPr>
              <w:rPr>
                <w:sz w:val="20"/>
                <w:szCs w:val="20"/>
              </w:rPr>
            </w:pPr>
          </w:p>
        </w:tc>
      </w:tr>
      <w:tr w:rsidR="00CD3F7C" w:rsidRPr="00A747EF" w14:paraId="02C4897F" w14:textId="77777777" w:rsidTr="00FB4F6B">
        <w:trPr>
          <w:trHeight w:val="1970"/>
        </w:trPr>
        <w:tc>
          <w:tcPr>
            <w:tcW w:w="2415" w:type="dxa"/>
            <w:shd w:val="clear" w:color="auto" w:fill="FFFFFF" w:themeFill="background1"/>
          </w:tcPr>
          <w:p w14:paraId="6FC52F8B" w14:textId="3F559CF3" w:rsidR="002212EC" w:rsidRPr="00A747EF" w:rsidRDefault="002212EC" w:rsidP="00A747E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7ABDD32A" w14:textId="77777777" w:rsidR="002212EC" w:rsidRPr="00A747EF" w:rsidRDefault="002212EC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Implement an SEND PE session designed to develop key skills</w:t>
            </w:r>
            <w:r w:rsidR="00C86B70" w:rsidRPr="00A747EF">
              <w:rPr>
                <w:sz w:val="20"/>
                <w:szCs w:val="20"/>
              </w:rPr>
              <w:t xml:space="preserve"> and expose children to accessible sports and competition. </w:t>
            </w:r>
          </w:p>
        </w:tc>
        <w:tc>
          <w:tcPr>
            <w:tcW w:w="1800" w:type="dxa"/>
            <w:shd w:val="clear" w:color="auto" w:fill="FFFFFF" w:themeFill="background1"/>
          </w:tcPr>
          <w:p w14:paraId="3F312952" w14:textId="15F1F365" w:rsidR="00C86B70" w:rsidRPr="00A747EF" w:rsidRDefault="007B5EF0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£400</w:t>
            </w:r>
            <w:r w:rsidR="00A747EF">
              <w:rPr>
                <w:sz w:val="20"/>
                <w:szCs w:val="20"/>
              </w:rPr>
              <w:t>.00</w:t>
            </w:r>
          </w:p>
        </w:tc>
        <w:tc>
          <w:tcPr>
            <w:tcW w:w="1710" w:type="dxa"/>
            <w:shd w:val="clear" w:color="auto" w:fill="FFFFFF" w:themeFill="background1"/>
          </w:tcPr>
          <w:p w14:paraId="5C0B0C4C" w14:textId="77777777" w:rsidR="002212EC" w:rsidRPr="00A747EF" w:rsidRDefault="002212EC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Children’s confidence in PE improves as skills develop</w:t>
            </w:r>
          </w:p>
          <w:p w14:paraId="2EE3B3D3" w14:textId="77777777" w:rsidR="002212EC" w:rsidRPr="00A747EF" w:rsidRDefault="002212EC" w:rsidP="00A747EF">
            <w:pPr>
              <w:rPr>
                <w:sz w:val="20"/>
                <w:szCs w:val="20"/>
              </w:rPr>
            </w:pPr>
          </w:p>
          <w:p w14:paraId="707674ED" w14:textId="77777777" w:rsidR="002212EC" w:rsidRPr="00A747EF" w:rsidRDefault="002212EC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children compete at the SEND games </w:t>
            </w:r>
          </w:p>
        </w:tc>
        <w:tc>
          <w:tcPr>
            <w:tcW w:w="2520" w:type="dxa"/>
            <w:shd w:val="clear" w:color="auto" w:fill="FFFFFF" w:themeFill="background1"/>
          </w:tcPr>
          <w:p w14:paraId="0B7088AF" w14:textId="77777777" w:rsidR="002212EC" w:rsidRPr="00A747EF" w:rsidRDefault="002212EC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Photographs of the SEND games </w:t>
            </w:r>
          </w:p>
          <w:p w14:paraId="77385A4B" w14:textId="77777777" w:rsidR="00411BD8" w:rsidRPr="00A747EF" w:rsidRDefault="00411BD8" w:rsidP="00A747EF">
            <w:pPr>
              <w:rPr>
                <w:sz w:val="20"/>
                <w:szCs w:val="20"/>
              </w:rPr>
            </w:pPr>
          </w:p>
          <w:p w14:paraId="64CDE16D" w14:textId="00F80203" w:rsidR="002212EC" w:rsidRPr="00A747EF" w:rsidRDefault="002212EC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Pupil voice from </w:t>
            </w:r>
            <w:r w:rsidR="007B5EF0" w:rsidRPr="00A747EF">
              <w:rPr>
                <w:sz w:val="20"/>
                <w:szCs w:val="20"/>
              </w:rPr>
              <w:t>demonstrates a positive attitude to physical activity</w:t>
            </w:r>
            <w:r w:rsidRPr="00A747EF">
              <w:rPr>
                <w:sz w:val="20"/>
                <w:szCs w:val="20"/>
              </w:rPr>
              <w:t xml:space="preserve"> </w:t>
            </w:r>
          </w:p>
          <w:p w14:paraId="494DFB0C" w14:textId="77777777" w:rsidR="00411BD8" w:rsidRPr="00A747EF" w:rsidRDefault="00411BD8" w:rsidP="00A747EF">
            <w:pPr>
              <w:rPr>
                <w:sz w:val="20"/>
                <w:szCs w:val="20"/>
              </w:rPr>
            </w:pPr>
          </w:p>
          <w:p w14:paraId="4FA4DD24" w14:textId="6529D0E1" w:rsidR="00411BD8" w:rsidRPr="00A747EF" w:rsidRDefault="00411BD8" w:rsidP="00A747EF">
            <w:pPr>
              <w:rPr>
                <w:sz w:val="20"/>
                <w:szCs w:val="20"/>
              </w:rPr>
            </w:pPr>
          </w:p>
        </w:tc>
      </w:tr>
      <w:tr w:rsidR="00CD3F7C" w:rsidRPr="00A747EF" w14:paraId="06F53BFD" w14:textId="77777777" w:rsidTr="00226110"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21B3" w14:textId="77777777" w:rsidR="00D91666" w:rsidRPr="00A747EF" w:rsidRDefault="00D91666" w:rsidP="00A747EF">
            <w:pPr>
              <w:spacing w:after="160" w:line="259" w:lineRule="auto"/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CE72B7" w14:textId="34D40BDA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West Heath Sports Week </w:t>
            </w:r>
            <w:r w:rsidR="00493242" w:rsidRPr="00A747EF">
              <w:rPr>
                <w:sz w:val="20"/>
                <w:szCs w:val="20"/>
              </w:rPr>
              <w:t xml:space="preserve">and outdoor and adventure week </w:t>
            </w:r>
          </w:p>
        </w:tc>
        <w:tc>
          <w:tcPr>
            <w:tcW w:w="1800" w:type="dxa"/>
            <w:shd w:val="clear" w:color="auto" w:fill="FFFFFF" w:themeFill="background1"/>
          </w:tcPr>
          <w:p w14:paraId="3A694DF5" w14:textId="77777777" w:rsidR="00BD00D2" w:rsidRDefault="00BD00D2" w:rsidP="00FB4F6B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£ </w:t>
            </w:r>
            <w:r w:rsidR="00A747EF">
              <w:rPr>
                <w:sz w:val="20"/>
                <w:szCs w:val="20"/>
              </w:rPr>
              <w:t>8</w:t>
            </w:r>
            <w:r w:rsidR="00FB4F6B">
              <w:rPr>
                <w:sz w:val="20"/>
                <w:szCs w:val="20"/>
              </w:rPr>
              <w:t>44</w:t>
            </w:r>
            <w:r w:rsidR="00A747EF">
              <w:rPr>
                <w:sz w:val="20"/>
                <w:szCs w:val="20"/>
              </w:rPr>
              <w:t>.00</w:t>
            </w:r>
            <w:r w:rsidR="00FB4F6B">
              <w:rPr>
                <w:sz w:val="20"/>
                <w:szCs w:val="20"/>
              </w:rPr>
              <w:t xml:space="preserve"> </w:t>
            </w:r>
          </w:p>
          <w:p w14:paraId="26B262CD" w14:textId="3C921A96" w:rsidR="00FB4F6B" w:rsidRPr="00A747EF" w:rsidRDefault="00FB4F6B" w:rsidP="00FB4F6B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1710" w:type="dxa"/>
            <w:shd w:val="clear" w:color="auto" w:fill="FFFFFF" w:themeFill="background1"/>
          </w:tcPr>
          <w:p w14:paraId="36143949" w14:textId="29FDC1E3" w:rsidR="0032054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Children across the school are able to partake in a wider range of sports including, boccia, curling and handball. All children are able to compete in an inter school competition where they are competing</w:t>
            </w:r>
            <w:r w:rsidR="00320546" w:rsidRPr="00A747EF">
              <w:rPr>
                <w:sz w:val="20"/>
                <w:szCs w:val="20"/>
              </w:rPr>
              <w:t xml:space="preserve">                 agains</w:t>
            </w:r>
            <w:r w:rsidR="00185B74" w:rsidRPr="00A747EF">
              <w:rPr>
                <w:sz w:val="20"/>
                <w:szCs w:val="20"/>
              </w:rPr>
              <w:t>t children of a similar ability.</w:t>
            </w:r>
          </w:p>
          <w:p w14:paraId="24852771" w14:textId="7B3495A4" w:rsidR="00D91666" w:rsidRPr="00A747EF" w:rsidRDefault="00D91666" w:rsidP="00A747E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346F325" w14:textId="392A9661" w:rsidR="00D91666" w:rsidRPr="00A747EF" w:rsidRDefault="00D91666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Personal achievement data </w:t>
            </w:r>
            <w:r w:rsidR="00226110">
              <w:rPr>
                <w:sz w:val="20"/>
                <w:szCs w:val="20"/>
              </w:rPr>
              <w:t>– self-assessment questionnaire analysed pupil groups i.e. SEND, pupil premium</w:t>
            </w:r>
          </w:p>
          <w:p w14:paraId="73EA84CA" w14:textId="77777777" w:rsidR="004D346D" w:rsidRPr="00A747EF" w:rsidRDefault="007C4167" w:rsidP="00A747E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42256951" w14:textId="77777777" w:rsidR="00493242" w:rsidRPr="00A747EF" w:rsidRDefault="00493242" w:rsidP="00A747EF"/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2438"/>
        <w:gridCol w:w="1893"/>
        <w:gridCol w:w="1803"/>
        <w:gridCol w:w="1803"/>
        <w:gridCol w:w="2413"/>
      </w:tblGrid>
      <w:tr w:rsidR="007B5EF0" w:rsidRPr="00A747EF" w14:paraId="60D4DA32" w14:textId="77777777" w:rsidTr="007B5EF0">
        <w:tc>
          <w:tcPr>
            <w:tcW w:w="2438" w:type="dxa"/>
            <w:shd w:val="clear" w:color="auto" w:fill="D9D9D9" w:themeFill="background1" w:themeFillShade="D9"/>
          </w:tcPr>
          <w:p w14:paraId="0419DFF8" w14:textId="77777777" w:rsidR="00493242" w:rsidRPr="00A747EF" w:rsidRDefault="00493242" w:rsidP="00A747E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747EF">
              <w:rPr>
                <w:b/>
                <w:sz w:val="20"/>
                <w:szCs w:val="20"/>
              </w:rPr>
              <w:t>Area of focus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6FB1DC25" w14:textId="77777777" w:rsidR="00493242" w:rsidRPr="00A747EF" w:rsidRDefault="00493242" w:rsidP="00A747E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747EF">
              <w:rPr>
                <w:b/>
                <w:sz w:val="20"/>
                <w:szCs w:val="20"/>
              </w:rPr>
              <w:t xml:space="preserve">Activities </w:t>
            </w:r>
          </w:p>
          <w:p w14:paraId="15577A58" w14:textId="77777777" w:rsidR="00493242" w:rsidRPr="00A747EF" w:rsidRDefault="00493242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(</w:t>
            </w:r>
            <w:r w:rsidRPr="00A747EF">
              <w:rPr>
                <w:i/>
                <w:sz w:val="20"/>
                <w:szCs w:val="20"/>
              </w:rPr>
              <w:t>Key actions identified to improve provision in each area)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57FD4208" w14:textId="77777777" w:rsidR="00493242" w:rsidRPr="00A747EF" w:rsidRDefault="00493242" w:rsidP="00A747E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747EF">
              <w:rPr>
                <w:b/>
                <w:sz w:val="20"/>
                <w:szCs w:val="20"/>
              </w:rPr>
              <w:t xml:space="preserve">Funding </w:t>
            </w:r>
          </w:p>
          <w:p w14:paraId="29DB125C" w14:textId="77777777" w:rsidR="00493242" w:rsidRPr="00A747EF" w:rsidRDefault="00493242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(</w:t>
            </w:r>
            <w:r w:rsidRPr="00A747EF">
              <w:rPr>
                <w:i/>
                <w:sz w:val="20"/>
                <w:szCs w:val="20"/>
              </w:rPr>
              <w:t>Breakdown of what will be spent)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545C2B03" w14:textId="77777777" w:rsidR="00493242" w:rsidRPr="00A747EF" w:rsidRDefault="00493242" w:rsidP="00A747E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747EF">
              <w:rPr>
                <w:b/>
                <w:sz w:val="20"/>
                <w:szCs w:val="20"/>
              </w:rPr>
              <w:t xml:space="preserve">Impact </w:t>
            </w:r>
          </w:p>
          <w:p w14:paraId="6EEAF8E4" w14:textId="77777777" w:rsidR="00493242" w:rsidRPr="00A747EF" w:rsidRDefault="00493242" w:rsidP="00A747EF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A747EF">
              <w:rPr>
                <w:i/>
                <w:sz w:val="20"/>
                <w:szCs w:val="20"/>
              </w:rPr>
              <w:t>(The difference the funding has made/ will make)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475B24C2" w14:textId="77777777" w:rsidR="00493242" w:rsidRPr="00A747EF" w:rsidRDefault="00493242" w:rsidP="00A747E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747EF">
              <w:rPr>
                <w:b/>
                <w:sz w:val="20"/>
                <w:szCs w:val="20"/>
              </w:rPr>
              <w:t xml:space="preserve">Evidence </w:t>
            </w:r>
          </w:p>
          <w:p w14:paraId="0E9E0FE7" w14:textId="2F2C71A2" w:rsidR="00493242" w:rsidRPr="00A747EF" w:rsidRDefault="00493242" w:rsidP="00A747EF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A747EF">
              <w:rPr>
                <w:i/>
                <w:sz w:val="20"/>
                <w:szCs w:val="20"/>
              </w:rPr>
              <w:t xml:space="preserve">(Sources of evidence on which the end of year evaluation </w:t>
            </w:r>
            <w:r w:rsidR="00D47123" w:rsidRPr="00A747EF">
              <w:rPr>
                <w:i/>
                <w:sz w:val="20"/>
                <w:szCs w:val="20"/>
              </w:rPr>
              <w:t>will be</w:t>
            </w:r>
            <w:r w:rsidRPr="00A747EF">
              <w:rPr>
                <w:i/>
                <w:sz w:val="20"/>
                <w:szCs w:val="20"/>
              </w:rPr>
              <w:t xml:space="preserve"> based on)</w:t>
            </w:r>
          </w:p>
        </w:tc>
      </w:tr>
      <w:tr w:rsidR="00A747EF" w:rsidRPr="00A747EF" w14:paraId="5D4BF290" w14:textId="77777777" w:rsidTr="007B5EF0"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sz w:val="20"/>
                <w:szCs w:val="20"/>
              </w:rPr>
              <w:id w:val="2081476642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60C3A2BA" w14:textId="77777777" w:rsidR="00493242" w:rsidRPr="00A747EF" w:rsidRDefault="00493242" w:rsidP="00A747EF">
                <w:pPr>
                  <w:spacing w:after="160" w:line="259" w:lineRule="auto"/>
                  <w:rPr>
                    <w:b/>
                    <w:sz w:val="20"/>
                    <w:szCs w:val="20"/>
                  </w:rPr>
                </w:pPr>
                <w:r w:rsidRPr="00A747EF">
                  <w:rPr>
                    <w:b/>
                    <w:sz w:val="20"/>
                    <w:szCs w:val="20"/>
                  </w:rPr>
                  <w:t>5. increased participation in competitive sport</w:t>
                </w:r>
              </w:p>
            </w:sdtContent>
          </w:sdt>
          <w:p w14:paraId="4C46AF5B" w14:textId="77777777" w:rsidR="00493242" w:rsidRPr="00A747EF" w:rsidRDefault="00493242" w:rsidP="00A747EF">
            <w:pPr>
              <w:spacing w:after="160" w:line="259" w:lineRule="auto"/>
              <w:rPr>
                <w:sz w:val="20"/>
                <w:szCs w:val="20"/>
              </w:rPr>
            </w:pPr>
          </w:p>
          <w:p w14:paraId="4EC22494" w14:textId="77777777" w:rsidR="00493242" w:rsidRPr="00A747EF" w:rsidRDefault="00493242" w:rsidP="00A747E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AC62" w14:textId="77777777" w:rsidR="00CD3F7C" w:rsidRPr="00A747EF" w:rsidRDefault="00493242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To pay for petrol for the two school minibuses to ensure that at least 2 different sporting fixtures can take place on the same evening. </w:t>
            </w:r>
          </w:p>
          <w:p w14:paraId="30740049" w14:textId="5001378B" w:rsidR="00493242" w:rsidRPr="00A747EF" w:rsidRDefault="00493242" w:rsidP="00A747E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B30E" w14:textId="77777777" w:rsidR="00493242" w:rsidRPr="00A747EF" w:rsidRDefault="00493242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£100.00</w:t>
            </w:r>
          </w:p>
        </w:tc>
        <w:tc>
          <w:tcPr>
            <w:tcW w:w="1803" w:type="dxa"/>
          </w:tcPr>
          <w:p w14:paraId="0D45B731" w14:textId="1A6AC9B5" w:rsidR="00493242" w:rsidRPr="00A747EF" w:rsidRDefault="00493242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More children are able to take part in sporting completion including b and c teams. </w:t>
            </w:r>
          </w:p>
          <w:p w14:paraId="46918035" w14:textId="6AB6D1C2" w:rsidR="00493242" w:rsidRPr="00A747EF" w:rsidRDefault="00493242" w:rsidP="00226110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Children able to attend events such as Wimbledon, AEGON classics, </w:t>
            </w:r>
            <w:r w:rsidR="00226110">
              <w:rPr>
                <w:sz w:val="20"/>
                <w:szCs w:val="20"/>
              </w:rPr>
              <w:t>Warwickshire cricket</w:t>
            </w:r>
            <w:r w:rsidRPr="00A74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14:paraId="56F04DF0" w14:textId="77777777" w:rsidR="00493242" w:rsidRPr="00A747EF" w:rsidRDefault="00493242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List of children entering competition. </w:t>
            </w:r>
          </w:p>
          <w:p w14:paraId="5BEAE47A" w14:textId="77777777" w:rsidR="00493242" w:rsidRPr="00A747EF" w:rsidRDefault="00493242" w:rsidP="00A747EF">
            <w:pPr>
              <w:spacing w:after="160" w:line="259" w:lineRule="auto"/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A, B and C team fixture results. </w:t>
            </w:r>
          </w:p>
        </w:tc>
      </w:tr>
      <w:tr w:rsidR="00A747EF" w:rsidRPr="00A747EF" w14:paraId="592B7C5B" w14:textId="77777777" w:rsidTr="007B5EF0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45A55AC6" w14:textId="77777777" w:rsidR="00493242" w:rsidRPr="00A747EF" w:rsidRDefault="00493242" w:rsidP="00A747EF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73983D50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Affiliation with the Lawn Tennis association </w:t>
            </w:r>
          </w:p>
          <w:p w14:paraId="327508AB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lastRenderedPageBreak/>
              <w:t xml:space="preserve">Lawn Tennis staff training </w:t>
            </w:r>
          </w:p>
        </w:tc>
        <w:tc>
          <w:tcPr>
            <w:tcW w:w="1803" w:type="dxa"/>
          </w:tcPr>
          <w:p w14:paraId="4EDA6375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lastRenderedPageBreak/>
              <w:t>£15.00</w:t>
            </w:r>
          </w:p>
          <w:p w14:paraId="2B266974" w14:textId="77777777" w:rsidR="00493242" w:rsidRPr="00A747EF" w:rsidRDefault="00493242" w:rsidP="00A747EF">
            <w:pPr>
              <w:rPr>
                <w:sz w:val="20"/>
                <w:szCs w:val="20"/>
              </w:rPr>
            </w:pPr>
          </w:p>
          <w:p w14:paraId="7BA85AD5" w14:textId="77777777" w:rsidR="00493242" w:rsidRPr="00A747EF" w:rsidRDefault="00493242" w:rsidP="00A747EF">
            <w:pPr>
              <w:rPr>
                <w:sz w:val="20"/>
                <w:szCs w:val="20"/>
              </w:rPr>
            </w:pPr>
          </w:p>
          <w:p w14:paraId="04B19977" w14:textId="77777777" w:rsidR="00493242" w:rsidRPr="00A747EF" w:rsidRDefault="00493242" w:rsidP="00A747EF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C5915EA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Pupils in upper KS2 are able to attend the AEGON Classic tournament. </w:t>
            </w:r>
            <w:r w:rsidRPr="00A747EF">
              <w:rPr>
                <w:sz w:val="20"/>
                <w:szCs w:val="20"/>
              </w:rPr>
              <w:lastRenderedPageBreak/>
              <w:t xml:space="preserve">Children are able to participate in a workshop run by the Lawn Tennis Association. </w:t>
            </w:r>
          </w:p>
        </w:tc>
        <w:tc>
          <w:tcPr>
            <w:tcW w:w="2413" w:type="dxa"/>
          </w:tcPr>
          <w:p w14:paraId="70AA87DF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lastRenderedPageBreak/>
              <w:t>Photographic evidence from events</w:t>
            </w:r>
          </w:p>
        </w:tc>
      </w:tr>
      <w:tr w:rsidR="00A747EF" w:rsidRPr="00A747EF" w14:paraId="090ECD5D" w14:textId="77777777" w:rsidTr="007B5EF0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744EA31F" w14:textId="77777777" w:rsidR="00493242" w:rsidRPr="00A747EF" w:rsidRDefault="00493242" w:rsidP="00A747EF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07D4C3F7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Affiliation with the Kings Norton Sports District and Birmingham Primary Schools Football Association </w:t>
            </w:r>
          </w:p>
        </w:tc>
        <w:tc>
          <w:tcPr>
            <w:tcW w:w="1803" w:type="dxa"/>
          </w:tcPr>
          <w:p w14:paraId="086E9D32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£55.00</w:t>
            </w:r>
          </w:p>
        </w:tc>
        <w:tc>
          <w:tcPr>
            <w:tcW w:w="1803" w:type="dxa"/>
          </w:tcPr>
          <w:p w14:paraId="16913F10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More children are given the chance to compete against local schools in a variety of sporting activities. </w:t>
            </w:r>
          </w:p>
        </w:tc>
        <w:tc>
          <w:tcPr>
            <w:tcW w:w="2413" w:type="dxa"/>
          </w:tcPr>
          <w:p w14:paraId="5D2D0F9E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Number of children who have competed. </w:t>
            </w:r>
          </w:p>
          <w:p w14:paraId="24BD1331" w14:textId="77777777" w:rsidR="00493242" w:rsidRPr="00A747EF" w:rsidRDefault="00493242" w:rsidP="00A747EF">
            <w:pPr>
              <w:rPr>
                <w:sz w:val="20"/>
                <w:szCs w:val="20"/>
              </w:rPr>
            </w:pPr>
          </w:p>
          <w:p w14:paraId="0495FCC5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List of teams that have represented the school.</w:t>
            </w:r>
          </w:p>
        </w:tc>
      </w:tr>
      <w:tr w:rsidR="00A747EF" w:rsidRPr="00A747EF" w14:paraId="7CB09BE6" w14:textId="77777777" w:rsidTr="007B5EF0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17E91A51" w14:textId="77777777" w:rsidR="00493242" w:rsidRPr="00A747EF" w:rsidRDefault="00493242" w:rsidP="00A747EF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64A34B5F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Affiliation with Kings Norton Rhinos Rugby</w:t>
            </w:r>
          </w:p>
        </w:tc>
        <w:tc>
          <w:tcPr>
            <w:tcW w:w="1803" w:type="dxa"/>
          </w:tcPr>
          <w:p w14:paraId="678F7352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£0.00</w:t>
            </w:r>
          </w:p>
        </w:tc>
        <w:tc>
          <w:tcPr>
            <w:tcW w:w="1803" w:type="dxa"/>
          </w:tcPr>
          <w:p w14:paraId="0547FBA4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More children are able to compete in tag rugby competition including children in b and c teams. </w:t>
            </w:r>
          </w:p>
        </w:tc>
        <w:tc>
          <w:tcPr>
            <w:tcW w:w="2413" w:type="dxa"/>
          </w:tcPr>
          <w:p w14:paraId="358D76CE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Number of children who have competed. </w:t>
            </w:r>
          </w:p>
          <w:p w14:paraId="0F138778" w14:textId="77777777" w:rsidR="00493242" w:rsidRPr="00A747EF" w:rsidRDefault="00493242" w:rsidP="00A747EF">
            <w:pPr>
              <w:rPr>
                <w:sz w:val="20"/>
                <w:szCs w:val="20"/>
              </w:rPr>
            </w:pPr>
          </w:p>
          <w:p w14:paraId="7B40B6C5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List of teams that have represented the school.</w:t>
            </w:r>
          </w:p>
        </w:tc>
      </w:tr>
      <w:tr w:rsidR="00A747EF" w:rsidRPr="00A747EF" w14:paraId="607DCBFF" w14:textId="77777777" w:rsidTr="00A747EF">
        <w:trPr>
          <w:trHeight w:val="61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67F65719" w14:textId="77777777" w:rsidR="00493242" w:rsidRPr="00A747EF" w:rsidRDefault="00493242" w:rsidP="00A747EF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70784826" w14:textId="65005558" w:rsidR="00493242" w:rsidRPr="00A747EF" w:rsidRDefault="00D47123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Affiliation</w:t>
            </w:r>
            <w:r w:rsidR="00493242" w:rsidRPr="00A747EF">
              <w:rPr>
                <w:sz w:val="20"/>
                <w:szCs w:val="20"/>
              </w:rPr>
              <w:t xml:space="preserve"> to Youth Sports trust </w:t>
            </w:r>
          </w:p>
        </w:tc>
        <w:tc>
          <w:tcPr>
            <w:tcW w:w="1803" w:type="dxa"/>
          </w:tcPr>
          <w:p w14:paraId="5174D37D" w14:textId="1D9B84F9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>£</w:t>
            </w:r>
            <w:r w:rsidR="007B5EF0" w:rsidRPr="00A747EF">
              <w:rPr>
                <w:sz w:val="20"/>
                <w:szCs w:val="20"/>
              </w:rPr>
              <w:t>25</w:t>
            </w:r>
            <w:r w:rsidRPr="00A747EF">
              <w:rPr>
                <w:sz w:val="20"/>
                <w:szCs w:val="20"/>
              </w:rPr>
              <w:t>0.00</w:t>
            </w:r>
          </w:p>
        </w:tc>
        <w:tc>
          <w:tcPr>
            <w:tcW w:w="1803" w:type="dxa"/>
          </w:tcPr>
          <w:p w14:paraId="09E23BA7" w14:textId="4CC92185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Increased resources for teaching and </w:t>
            </w:r>
            <w:r w:rsidR="00D47123" w:rsidRPr="00A747EF">
              <w:rPr>
                <w:sz w:val="20"/>
                <w:szCs w:val="20"/>
              </w:rPr>
              <w:t>learning</w:t>
            </w:r>
          </w:p>
        </w:tc>
        <w:tc>
          <w:tcPr>
            <w:tcW w:w="2413" w:type="dxa"/>
          </w:tcPr>
          <w:p w14:paraId="0D552994" w14:textId="77777777" w:rsidR="00493242" w:rsidRPr="00A747EF" w:rsidRDefault="00493242" w:rsidP="00A747EF">
            <w:pPr>
              <w:rPr>
                <w:sz w:val="20"/>
                <w:szCs w:val="20"/>
              </w:rPr>
            </w:pPr>
            <w:r w:rsidRPr="00A747EF">
              <w:rPr>
                <w:sz w:val="20"/>
                <w:szCs w:val="20"/>
              </w:rPr>
              <w:t xml:space="preserve">YTS primary lead </w:t>
            </w:r>
          </w:p>
          <w:p w14:paraId="14D96CB6" w14:textId="77777777" w:rsidR="00493242" w:rsidRPr="00A747EF" w:rsidRDefault="00493242" w:rsidP="00A747EF">
            <w:pPr>
              <w:rPr>
                <w:sz w:val="20"/>
                <w:szCs w:val="20"/>
              </w:rPr>
            </w:pPr>
          </w:p>
          <w:p w14:paraId="471735F5" w14:textId="1E7BC584" w:rsidR="00493242" w:rsidRPr="00A747EF" w:rsidRDefault="00493242" w:rsidP="00A747EF">
            <w:pPr>
              <w:rPr>
                <w:sz w:val="20"/>
                <w:szCs w:val="20"/>
              </w:rPr>
            </w:pPr>
          </w:p>
        </w:tc>
      </w:tr>
    </w:tbl>
    <w:p w14:paraId="77ECBC8A" w14:textId="5172E584" w:rsidR="00493242" w:rsidRDefault="00493242"/>
    <w:p w14:paraId="124C855A" w14:textId="77777777" w:rsidR="00D91666" w:rsidRDefault="00D91666" w:rsidP="00384058">
      <w:bookmarkStart w:id="0" w:name="_GoBack"/>
      <w:bookmarkEnd w:id="0"/>
    </w:p>
    <w:sectPr w:rsidR="00D91666" w:rsidSect="00EA6156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E17DB" w14:textId="77777777" w:rsidR="007C4167" w:rsidRDefault="007C4167" w:rsidP="00BD00D2">
      <w:pPr>
        <w:spacing w:after="0" w:line="240" w:lineRule="auto"/>
      </w:pPr>
      <w:r>
        <w:separator/>
      </w:r>
    </w:p>
  </w:endnote>
  <w:endnote w:type="continuationSeparator" w:id="0">
    <w:p w14:paraId="51437537" w14:textId="77777777" w:rsidR="007C4167" w:rsidRDefault="007C4167" w:rsidP="00BD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9137B" w14:textId="77777777" w:rsidR="007C4167" w:rsidRDefault="007C4167" w:rsidP="00BD00D2">
      <w:pPr>
        <w:spacing w:after="0" w:line="240" w:lineRule="auto"/>
      </w:pPr>
      <w:r>
        <w:separator/>
      </w:r>
    </w:p>
  </w:footnote>
  <w:footnote w:type="continuationSeparator" w:id="0">
    <w:p w14:paraId="3250A458" w14:textId="77777777" w:rsidR="007C4167" w:rsidRDefault="007C4167" w:rsidP="00BD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2E8B" w14:textId="77777777" w:rsidR="00FC4725" w:rsidRPr="00FC4725" w:rsidRDefault="00FC4725" w:rsidP="00FC4725">
    <w:pPr>
      <w:pStyle w:val="Header"/>
      <w:jc w:val="center"/>
      <w:rPr>
        <w:b/>
      </w:rPr>
    </w:pPr>
    <w:r w:rsidRPr="00FC4725">
      <w:rPr>
        <w:b/>
      </w:rPr>
      <w:t>West Heath Primary School PE and Sports Premium</w:t>
    </w:r>
  </w:p>
  <w:p w14:paraId="20A18023" w14:textId="77777777" w:rsidR="00BD00D2" w:rsidRPr="00FC4725" w:rsidRDefault="00BD00D2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0792" w14:textId="77777777" w:rsidR="00EA6156" w:rsidRDefault="00EA6156" w:rsidP="003840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ED5960" wp14:editId="0A8A9DEE">
          <wp:simplePos x="0" y="0"/>
          <wp:positionH relativeFrom="page">
            <wp:align>left</wp:align>
          </wp:positionH>
          <wp:positionV relativeFrom="paragraph">
            <wp:posOffset>-430531</wp:posOffset>
          </wp:positionV>
          <wp:extent cx="7524750" cy="1262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842" cy="1275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09C9"/>
    <w:multiLevelType w:val="hybridMultilevel"/>
    <w:tmpl w:val="0638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02918"/>
    <w:multiLevelType w:val="hybridMultilevel"/>
    <w:tmpl w:val="B168804E"/>
    <w:lvl w:ilvl="0" w:tplc="A0209B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D54DD"/>
    <w:multiLevelType w:val="hybridMultilevel"/>
    <w:tmpl w:val="ECAA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1AD"/>
    <w:multiLevelType w:val="hybridMultilevel"/>
    <w:tmpl w:val="8A50AC72"/>
    <w:lvl w:ilvl="0" w:tplc="37AE7E16"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66"/>
    <w:rsid w:val="00070BDC"/>
    <w:rsid w:val="0009230A"/>
    <w:rsid w:val="000A6EA3"/>
    <w:rsid w:val="000E4F6F"/>
    <w:rsid w:val="00185B74"/>
    <w:rsid w:val="001C519C"/>
    <w:rsid w:val="001C7427"/>
    <w:rsid w:val="002212EC"/>
    <w:rsid w:val="00226110"/>
    <w:rsid w:val="002411DB"/>
    <w:rsid w:val="002D7507"/>
    <w:rsid w:val="00303C64"/>
    <w:rsid w:val="00320546"/>
    <w:rsid w:val="00375130"/>
    <w:rsid w:val="00384058"/>
    <w:rsid w:val="003870F9"/>
    <w:rsid w:val="003D2271"/>
    <w:rsid w:val="00411BD8"/>
    <w:rsid w:val="00493242"/>
    <w:rsid w:val="004F7F69"/>
    <w:rsid w:val="00537F2A"/>
    <w:rsid w:val="00546535"/>
    <w:rsid w:val="00620C32"/>
    <w:rsid w:val="0066003E"/>
    <w:rsid w:val="006769EB"/>
    <w:rsid w:val="006B4017"/>
    <w:rsid w:val="006B5C86"/>
    <w:rsid w:val="006D23FE"/>
    <w:rsid w:val="006F4F76"/>
    <w:rsid w:val="0072231B"/>
    <w:rsid w:val="00735D34"/>
    <w:rsid w:val="00787225"/>
    <w:rsid w:val="007A691E"/>
    <w:rsid w:val="007B5EF0"/>
    <w:rsid w:val="007C4167"/>
    <w:rsid w:val="008A1DFC"/>
    <w:rsid w:val="008E4359"/>
    <w:rsid w:val="00903860"/>
    <w:rsid w:val="0092289A"/>
    <w:rsid w:val="009A279F"/>
    <w:rsid w:val="009C1AAB"/>
    <w:rsid w:val="009C3F35"/>
    <w:rsid w:val="009F1046"/>
    <w:rsid w:val="009F5030"/>
    <w:rsid w:val="00A07825"/>
    <w:rsid w:val="00A44CC5"/>
    <w:rsid w:val="00A50971"/>
    <w:rsid w:val="00A52A22"/>
    <w:rsid w:val="00A747EF"/>
    <w:rsid w:val="00A81C85"/>
    <w:rsid w:val="00B712D8"/>
    <w:rsid w:val="00B943ED"/>
    <w:rsid w:val="00BA20A5"/>
    <w:rsid w:val="00BA7619"/>
    <w:rsid w:val="00BB49EB"/>
    <w:rsid w:val="00BD00D2"/>
    <w:rsid w:val="00C13C17"/>
    <w:rsid w:val="00C86B70"/>
    <w:rsid w:val="00CD3F7C"/>
    <w:rsid w:val="00D121A8"/>
    <w:rsid w:val="00D47123"/>
    <w:rsid w:val="00D91666"/>
    <w:rsid w:val="00DC4845"/>
    <w:rsid w:val="00E04FA5"/>
    <w:rsid w:val="00E64C9A"/>
    <w:rsid w:val="00E75CAC"/>
    <w:rsid w:val="00EA6156"/>
    <w:rsid w:val="00EA622A"/>
    <w:rsid w:val="00F400A1"/>
    <w:rsid w:val="00F73E88"/>
    <w:rsid w:val="00FB4F6B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3C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0D2"/>
  </w:style>
  <w:style w:type="paragraph" w:styleId="Footer">
    <w:name w:val="footer"/>
    <w:basedOn w:val="Normal"/>
    <w:link w:val="FooterChar"/>
    <w:uiPriority w:val="99"/>
    <w:unhideWhenUsed/>
    <w:rsid w:val="00BD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0D2"/>
  </w:style>
  <w:style w:type="paragraph" w:styleId="ListParagraph">
    <w:name w:val="List Paragraph"/>
    <w:basedOn w:val="Normal"/>
    <w:uiPriority w:val="34"/>
    <w:qFormat/>
    <w:rsid w:val="0022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Heath Primary School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Foster</dc:creator>
  <cp:lastModifiedBy>Michelle Hooper</cp:lastModifiedBy>
  <cp:revision>2</cp:revision>
  <cp:lastPrinted>2018-11-29T13:19:00Z</cp:lastPrinted>
  <dcterms:created xsi:type="dcterms:W3CDTF">2018-12-02T15:19:00Z</dcterms:created>
  <dcterms:modified xsi:type="dcterms:W3CDTF">2018-12-02T15:19:00Z</dcterms:modified>
</cp:coreProperties>
</file>